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20C099" w14:textId="77777777" w:rsidR="00162442" w:rsidRDefault="00FD02A4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r>
        <w:rPr>
          <w:rFonts w:cs="Arial"/>
          <w:b/>
          <w:caps/>
          <w:sz w:val="20"/>
        </w:rPr>
        <w:fldChar w:fldCharType="begin"/>
      </w:r>
      <w:r>
        <w:rPr>
          <w:rFonts w:cs="Arial"/>
          <w:b/>
          <w:caps/>
          <w:sz w:val="20"/>
        </w:rPr>
        <w:instrText xml:space="preserve"> TOC \o "1-2" \h \z \u </w:instrText>
      </w:r>
      <w:r>
        <w:rPr>
          <w:rFonts w:cs="Arial"/>
          <w:b/>
          <w:caps/>
          <w:sz w:val="20"/>
        </w:rPr>
        <w:fldChar w:fldCharType="separate"/>
      </w:r>
      <w:hyperlink w:anchor="_Toc131407864" w:history="1">
        <w:r w:rsidR="00162442" w:rsidRPr="007E4D0D">
          <w:rPr>
            <w:rStyle w:val="Hipercze"/>
            <w:noProof/>
          </w:rPr>
          <w:t>1.</w:t>
        </w:r>
        <w:r w:rsidR="00162442"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="00162442" w:rsidRPr="007E4D0D">
          <w:rPr>
            <w:rStyle w:val="Hipercze"/>
            <w:noProof/>
          </w:rPr>
          <w:t>Przedmiot opracowania</w:t>
        </w:r>
        <w:r w:rsidR="00162442">
          <w:rPr>
            <w:noProof/>
            <w:webHidden/>
          </w:rPr>
          <w:tab/>
        </w:r>
        <w:r w:rsidR="00162442">
          <w:rPr>
            <w:noProof/>
            <w:webHidden/>
          </w:rPr>
          <w:fldChar w:fldCharType="begin"/>
        </w:r>
        <w:r w:rsidR="00162442">
          <w:rPr>
            <w:noProof/>
            <w:webHidden/>
          </w:rPr>
          <w:instrText xml:space="preserve"> PAGEREF _Toc131407864 \h </w:instrText>
        </w:r>
        <w:r w:rsidR="00162442">
          <w:rPr>
            <w:noProof/>
            <w:webHidden/>
          </w:rPr>
        </w:r>
        <w:r w:rsidR="00162442">
          <w:rPr>
            <w:noProof/>
            <w:webHidden/>
          </w:rPr>
          <w:fldChar w:fldCharType="separate"/>
        </w:r>
        <w:r w:rsidR="00162442">
          <w:rPr>
            <w:noProof/>
            <w:webHidden/>
          </w:rPr>
          <w:t>2</w:t>
        </w:r>
        <w:r w:rsidR="00162442">
          <w:rPr>
            <w:noProof/>
            <w:webHidden/>
          </w:rPr>
          <w:fldChar w:fldCharType="end"/>
        </w:r>
      </w:hyperlink>
    </w:p>
    <w:p w14:paraId="1989664E" w14:textId="77777777" w:rsidR="00162442" w:rsidRDefault="00162442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65" w:history="1">
        <w:r w:rsidRPr="007E4D0D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7268511" w14:textId="77777777" w:rsidR="00162442" w:rsidRDefault="00162442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66" w:history="1">
        <w:r w:rsidRPr="007E4D0D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BCBC900" w14:textId="77777777" w:rsidR="00162442" w:rsidRDefault="00162442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67" w:history="1">
        <w:r w:rsidRPr="007E4D0D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Opis projektowanych rozwiązań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EAC716" w14:textId="77777777" w:rsidR="00162442" w:rsidRDefault="00162442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68" w:history="1">
        <w:r w:rsidRPr="007E4D0D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Zasilanie lokalu projektowanej Drive Thru „Burger King” DT280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0E478C7" w14:textId="77777777" w:rsidR="00162442" w:rsidRDefault="00162442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69" w:history="1">
        <w:r w:rsidRPr="007E4D0D">
          <w:rPr>
            <w:rStyle w:val="Hipercze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Instalacja zasilania gniazd i wypustów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FA1F57" w14:textId="77777777" w:rsidR="00162442" w:rsidRDefault="00162442">
      <w:pPr>
        <w:pStyle w:val="Spistreci1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70" w:history="1">
        <w:r w:rsidRPr="007E4D0D">
          <w:rPr>
            <w:rStyle w:val="Hipercze"/>
            <w:noProof/>
          </w:rPr>
          <w:t>4.2.1.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Urządzenia technologiczne kuchni, chłodu i podgrzewu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913D86" w14:textId="77777777" w:rsidR="00162442" w:rsidRDefault="00162442">
      <w:pPr>
        <w:pStyle w:val="Spistreci1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71" w:history="1">
        <w:r w:rsidRPr="007E4D0D">
          <w:rPr>
            <w:rStyle w:val="Hipercze"/>
            <w:noProof/>
          </w:rPr>
          <w:t>4.2.2.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Urządzenia elektryczne HVAC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BF20D54" w14:textId="77777777" w:rsidR="00162442" w:rsidRDefault="00162442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72" w:history="1">
        <w:r w:rsidRPr="007E4D0D">
          <w:rPr>
            <w:rStyle w:val="Hipercze"/>
            <w:noProof/>
          </w:rPr>
          <w:t>4.3.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Instalacja gniazd ogólnych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FF62C94" w14:textId="77777777" w:rsidR="00162442" w:rsidRDefault="00162442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73" w:history="1">
        <w:r w:rsidRPr="007E4D0D">
          <w:rPr>
            <w:rStyle w:val="Hipercze"/>
            <w:noProof/>
          </w:rPr>
          <w:t>4.4.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Instalacja oświetlenia podstawowego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218F42B" w14:textId="77777777" w:rsidR="00162442" w:rsidRDefault="00162442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74" w:history="1">
        <w:r w:rsidRPr="007E4D0D">
          <w:rPr>
            <w:rStyle w:val="Hipercze"/>
            <w:noProof/>
          </w:rPr>
          <w:t>4.5.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Instalacja oświetlenia awaryjnego ewakuacyjnego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5BFD9F" w14:textId="77777777" w:rsidR="00162442" w:rsidRDefault="00162442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75" w:history="1">
        <w:r w:rsidRPr="007E4D0D">
          <w:rPr>
            <w:rStyle w:val="Hipercze"/>
            <w:noProof/>
          </w:rPr>
          <w:t>4.6.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Instalacja systemu nagłośnienia lokalu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E1D9B19" w14:textId="77777777" w:rsidR="00162442" w:rsidRDefault="00162442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76" w:history="1">
        <w:r w:rsidRPr="007E4D0D">
          <w:rPr>
            <w:rStyle w:val="Hipercze"/>
            <w:noProof/>
          </w:rPr>
          <w:t>4.7.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Instalacja kontroli dostępu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0D3DBDC" w14:textId="77777777" w:rsidR="00162442" w:rsidRDefault="00162442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77" w:history="1">
        <w:r w:rsidRPr="007E4D0D">
          <w:rPr>
            <w:rStyle w:val="Hipercze"/>
            <w:noProof/>
          </w:rPr>
          <w:t>4.8.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Instalacja połączeń wyrównawczych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AA64F3B" w14:textId="77777777" w:rsidR="00162442" w:rsidRDefault="00162442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78" w:history="1">
        <w:r w:rsidRPr="007E4D0D">
          <w:rPr>
            <w:rStyle w:val="Hipercze"/>
            <w:noProof/>
          </w:rPr>
          <w:t>4.9.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Instalacja odgromowa i uziemiająca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93A48C5" w14:textId="77777777" w:rsidR="00162442" w:rsidRDefault="00162442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79" w:history="1">
        <w:r w:rsidRPr="007E4D0D">
          <w:rPr>
            <w:rStyle w:val="Hipercze"/>
            <w:noProof/>
          </w:rPr>
          <w:t>4.10.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Trasy kablowe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C06B290" w14:textId="77777777" w:rsidR="00162442" w:rsidRDefault="00162442">
      <w:pPr>
        <w:pStyle w:val="Spistreci1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80" w:history="1">
        <w:r w:rsidRPr="007E4D0D">
          <w:rPr>
            <w:rStyle w:val="Hipercze"/>
            <w:noProof/>
          </w:rPr>
          <w:t>4.11.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Rozdzielnice elektryczne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7FD280A" w14:textId="77777777" w:rsidR="00162442" w:rsidRDefault="00162442">
      <w:pPr>
        <w:pStyle w:val="Spistreci1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81" w:history="1">
        <w:r w:rsidRPr="007E4D0D">
          <w:rPr>
            <w:rStyle w:val="Hipercze"/>
            <w:noProof/>
          </w:rPr>
          <w:t>4.12.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Ochrona przeciwporażeniowa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5F5C66D" w14:textId="77777777" w:rsidR="00162442" w:rsidRDefault="00162442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82" w:history="1">
        <w:r w:rsidRPr="007E4D0D">
          <w:rPr>
            <w:rStyle w:val="Hipercze"/>
            <w:noProof/>
          </w:rPr>
          <w:t>4.13.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Teren zewnętrzny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0C9FF51" w14:textId="77777777" w:rsidR="00162442" w:rsidRDefault="00162442">
      <w:pPr>
        <w:pStyle w:val="Spistreci1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83" w:history="1">
        <w:r w:rsidRPr="007E4D0D">
          <w:rPr>
            <w:rStyle w:val="Hipercze"/>
            <w:noProof/>
          </w:rPr>
          <w:t>4.14.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Monitoring zużycia energii elektrycznej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054975A" w14:textId="77777777" w:rsidR="00162442" w:rsidRDefault="00162442">
      <w:pPr>
        <w:pStyle w:val="Spistreci1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84" w:history="1">
        <w:r w:rsidRPr="007E4D0D">
          <w:rPr>
            <w:rStyle w:val="Hipercze"/>
            <w:noProof/>
          </w:rPr>
          <w:t>4.15.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Bilans mocy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83F11C3" w14:textId="77777777" w:rsidR="00162442" w:rsidRDefault="00162442">
      <w:pPr>
        <w:pStyle w:val="Spistreci1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85" w:history="1">
        <w:r w:rsidRPr="007E4D0D">
          <w:rPr>
            <w:rStyle w:val="Hipercze"/>
            <w:noProof/>
          </w:rPr>
          <w:t>4.16.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6995D46" w14:textId="77777777" w:rsidR="00162442" w:rsidRDefault="00162442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0"/>
          <w:lang w:eastAsia="pl-PL"/>
        </w:rPr>
      </w:pPr>
      <w:hyperlink w:anchor="_Toc131407886" w:history="1">
        <w:r w:rsidRPr="007E4D0D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0"/>
            <w:lang w:eastAsia="pl-PL"/>
          </w:rPr>
          <w:tab/>
        </w:r>
        <w:r w:rsidRPr="007E4D0D">
          <w:rPr>
            <w:rStyle w:val="Hipercze"/>
            <w:noProof/>
          </w:rPr>
          <w:t>Uprawnienia budowlane i izba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_Toc131407886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D46FD49" w14:textId="323DEA99" w:rsidR="00FD02A4" w:rsidRDefault="00FD02A4" w:rsidP="00FD02A4">
      <w:pPr>
        <w:ind w:firstLine="0"/>
        <w:jc w:val="left"/>
      </w:pPr>
      <w:r>
        <w:rPr>
          <w:rFonts w:ascii="Calibri" w:hAnsi="Calibri" w:cs="Arial"/>
          <w:b/>
          <w:caps/>
          <w:sz w:val="20"/>
        </w:rPr>
        <w:fldChar w:fldCharType="end"/>
      </w:r>
      <w:r>
        <w:br w:type="page"/>
      </w:r>
      <w:bookmarkStart w:id="0" w:name="_GoBack"/>
      <w:bookmarkEnd w:id="0"/>
    </w:p>
    <w:p w14:paraId="21577F14" w14:textId="481CBA42" w:rsidR="004C698C" w:rsidRDefault="00550086" w:rsidP="00550086">
      <w:pPr>
        <w:pStyle w:val="Nagwek1"/>
        <w:numPr>
          <w:ilvl w:val="0"/>
          <w:numId w:val="3"/>
        </w:numPr>
      </w:pPr>
      <w:bookmarkStart w:id="1" w:name="_Toc131407864"/>
      <w:r w:rsidRPr="00550086">
        <w:lastRenderedPageBreak/>
        <w:t>Przedmiot opracowania</w:t>
      </w:r>
      <w:bookmarkEnd w:id="1"/>
    </w:p>
    <w:p w14:paraId="1122410F" w14:textId="77777777" w:rsidR="00550086" w:rsidRPr="00550086" w:rsidRDefault="00550086" w:rsidP="00550086"/>
    <w:p w14:paraId="20179276" w14:textId="65223A8A" w:rsidR="00550086" w:rsidRDefault="00550086" w:rsidP="00B26DA4">
      <w:r w:rsidRPr="00550086">
        <w:t>Przedmiotem opracowania jest projekt wykonawczy w zakresie instalacji elektrycznych dla tematu „</w:t>
      </w:r>
      <w:r w:rsidR="00B26DA4">
        <w:t xml:space="preserve">Typowa restauracja wolnostojąca Drive </w:t>
      </w:r>
      <w:proofErr w:type="spellStart"/>
      <w:r w:rsidR="00B26DA4">
        <w:t>Thru</w:t>
      </w:r>
      <w:proofErr w:type="spellEnd"/>
      <w:r w:rsidR="00B26DA4">
        <w:t xml:space="preserve">, typ </w:t>
      </w:r>
      <w:proofErr w:type="spellStart"/>
      <w:r w:rsidR="00B26DA4">
        <w:t>Burger</w:t>
      </w:r>
      <w:proofErr w:type="spellEnd"/>
      <w:r w:rsidR="00B26DA4">
        <w:t xml:space="preserve"> King DT280</w:t>
      </w:r>
      <w:r w:rsidR="00475525">
        <w:t>” Obiekt, w którym znajduje się przedmiotowy lokal znajduje się</w:t>
      </w:r>
      <w:r w:rsidRPr="00550086">
        <w:t xml:space="preserve"> w </w:t>
      </w:r>
      <w:r w:rsidR="00B26DA4">
        <w:t>typowej lokalizacji</w:t>
      </w:r>
      <w:r w:rsidR="00475525">
        <w:t>.</w:t>
      </w:r>
    </w:p>
    <w:p w14:paraId="07AB6A56" w14:textId="77777777" w:rsidR="00550086" w:rsidRPr="00550086" w:rsidRDefault="00550086" w:rsidP="00550086"/>
    <w:p w14:paraId="04DF581C" w14:textId="6A269013" w:rsidR="00550086" w:rsidRDefault="00550086" w:rsidP="00550086">
      <w:pPr>
        <w:pStyle w:val="Nagwek1"/>
        <w:numPr>
          <w:ilvl w:val="0"/>
          <w:numId w:val="3"/>
        </w:numPr>
      </w:pPr>
      <w:bookmarkStart w:id="2" w:name="_Toc131407865"/>
      <w:r w:rsidRPr="00550086">
        <w:t>Podstawa opracowania</w:t>
      </w:r>
      <w:bookmarkEnd w:id="2"/>
    </w:p>
    <w:p w14:paraId="64720882" w14:textId="05BD5ABE" w:rsidR="00550086" w:rsidRDefault="00550086" w:rsidP="00550086"/>
    <w:p w14:paraId="4C4ED3A2" w14:textId="1676786D" w:rsidR="00550086" w:rsidRDefault="00550086" w:rsidP="00550086">
      <w:r w:rsidRPr="00550086">
        <w:t>Projekt opracowano na podstawie:</w:t>
      </w:r>
    </w:p>
    <w:p w14:paraId="31F05CB3" w14:textId="7AAEFD99" w:rsidR="00550086" w:rsidRDefault="000E2DED" w:rsidP="00550086">
      <w:pPr>
        <w:pStyle w:val="Akapitzlist"/>
        <w:numPr>
          <w:ilvl w:val="0"/>
          <w:numId w:val="4"/>
        </w:numPr>
      </w:pPr>
      <w:r>
        <w:t>umowy podpisanej z Inwestorem,</w:t>
      </w:r>
    </w:p>
    <w:p w14:paraId="7688A9A4" w14:textId="5603FB0F" w:rsidR="00550086" w:rsidRDefault="00475525" w:rsidP="00550086">
      <w:pPr>
        <w:pStyle w:val="Akapitzlist"/>
        <w:numPr>
          <w:ilvl w:val="0"/>
          <w:numId w:val="4"/>
        </w:numPr>
      </w:pPr>
      <w:r>
        <w:t>projektu architektonicznego lokalu</w:t>
      </w:r>
      <w:r w:rsidR="00550086" w:rsidRPr="00550086">
        <w:t>,</w:t>
      </w:r>
    </w:p>
    <w:p w14:paraId="2ED87C4E" w14:textId="25777B01" w:rsidR="00550086" w:rsidRDefault="00550086" w:rsidP="00550086">
      <w:pPr>
        <w:pStyle w:val="Akapitzlist"/>
        <w:numPr>
          <w:ilvl w:val="0"/>
          <w:numId w:val="4"/>
        </w:numPr>
      </w:pPr>
      <w:r>
        <w:t xml:space="preserve">technologii </w:t>
      </w:r>
      <w:r w:rsidR="00475525">
        <w:t>kuchni</w:t>
      </w:r>
      <w:r>
        <w:t>,</w:t>
      </w:r>
    </w:p>
    <w:p w14:paraId="42259221" w14:textId="09DE9483" w:rsidR="00550086" w:rsidRDefault="000E2DED" w:rsidP="00550086">
      <w:pPr>
        <w:pStyle w:val="Akapitzlist"/>
        <w:numPr>
          <w:ilvl w:val="0"/>
          <w:numId w:val="4"/>
        </w:numPr>
      </w:pPr>
      <w:r>
        <w:t>wytycznych i projektów pozostałych branż</w:t>
      </w:r>
      <w:r w:rsidR="00550086">
        <w:t>,</w:t>
      </w:r>
    </w:p>
    <w:p w14:paraId="3663D501" w14:textId="74342675" w:rsidR="00550086" w:rsidRDefault="000E2DED" w:rsidP="00550086">
      <w:pPr>
        <w:pStyle w:val="Akapitzlist"/>
        <w:numPr>
          <w:ilvl w:val="0"/>
          <w:numId w:val="4"/>
        </w:numPr>
      </w:pPr>
      <w:r>
        <w:t xml:space="preserve">uwag, </w:t>
      </w:r>
      <w:r w:rsidR="00550086">
        <w:t xml:space="preserve">wytycznych </w:t>
      </w:r>
      <w:r>
        <w:t xml:space="preserve">i standardu </w:t>
      </w:r>
      <w:r w:rsidR="00550086">
        <w:t>Inwestora,</w:t>
      </w:r>
    </w:p>
    <w:p w14:paraId="6704EEDF" w14:textId="0FB43F55" w:rsidR="00550086" w:rsidRDefault="00550086" w:rsidP="00550086">
      <w:pPr>
        <w:pStyle w:val="Akapitzlist"/>
        <w:numPr>
          <w:ilvl w:val="0"/>
          <w:numId w:val="4"/>
        </w:numPr>
      </w:pPr>
      <w:r>
        <w:t xml:space="preserve">obowiązujących </w:t>
      </w:r>
      <w:r w:rsidR="00475525">
        <w:t>aktów prawnych</w:t>
      </w:r>
      <w:r w:rsidR="000E2DED">
        <w:t>.</w:t>
      </w:r>
    </w:p>
    <w:p w14:paraId="717E2147" w14:textId="77777777" w:rsidR="00550086" w:rsidRPr="00550086" w:rsidRDefault="00550086" w:rsidP="00550086"/>
    <w:p w14:paraId="2CA704F0" w14:textId="6A894F05" w:rsidR="00550086" w:rsidRDefault="00550086" w:rsidP="00550086">
      <w:pPr>
        <w:pStyle w:val="Nagwek1"/>
        <w:numPr>
          <w:ilvl w:val="0"/>
          <w:numId w:val="3"/>
        </w:numPr>
      </w:pPr>
      <w:bookmarkStart w:id="3" w:name="_Toc131407866"/>
      <w:r w:rsidRPr="00550086">
        <w:t>Zakres opracowania</w:t>
      </w:r>
      <w:bookmarkEnd w:id="3"/>
    </w:p>
    <w:p w14:paraId="30A95174" w14:textId="6AA6926D" w:rsidR="00550086" w:rsidRDefault="00550086" w:rsidP="00550086"/>
    <w:p w14:paraId="2DC13E9D" w14:textId="77777777" w:rsidR="00550086" w:rsidRDefault="00550086" w:rsidP="00550086">
      <w:r>
        <w:t>Zakres niniejszego opracowania zawiera:</w:t>
      </w:r>
    </w:p>
    <w:p w14:paraId="698BE06E" w14:textId="17499E5E" w:rsidR="00550086" w:rsidRDefault="00550086" w:rsidP="00550086">
      <w:pPr>
        <w:pStyle w:val="Akapitzlist"/>
        <w:numPr>
          <w:ilvl w:val="0"/>
          <w:numId w:val="5"/>
        </w:numPr>
      </w:pPr>
      <w:r>
        <w:t>projekt instalacji oświetlenia podstawowego,</w:t>
      </w:r>
    </w:p>
    <w:p w14:paraId="362DBC2B" w14:textId="7E4D3FBB" w:rsidR="00550086" w:rsidRDefault="00550086" w:rsidP="00550086">
      <w:pPr>
        <w:pStyle w:val="Akapitzlist"/>
        <w:numPr>
          <w:ilvl w:val="0"/>
          <w:numId w:val="5"/>
        </w:numPr>
      </w:pPr>
      <w:r>
        <w:t>projekt instalacji oświetlenia ewakuacyjnego i kierunkowego,</w:t>
      </w:r>
    </w:p>
    <w:p w14:paraId="1398A028" w14:textId="7492E2FD" w:rsidR="00550086" w:rsidRDefault="00550086" w:rsidP="00550086">
      <w:pPr>
        <w:pStyle w:val="Akapitzlist"/>
        <w:numPr>
          <w:ilvl w:val="0"/>
          <w:numId w:val="5"/>
        </w:numPr>
      </w:pPr>
      <w:r>
        <w:t>projekt instalacji siły dla urządzeń gastronomicznych,</w:t>
      </w:r>
    </w:p>
    <w:p w14:paraId="6144CC89" w14:textId="421B0011" w:rsidR="00550086" w:rsidRDefault="00550086" w:rsidP="00550086">
      <w:pPr>
        <w:pStyle w:val="Akapitzlist"/>
        <w:numPr>
          <w:ilvl w:val="0"/>
          <w:numId w:val="5"/>
        </w:numPr>
      </w:pPr>
      <w:r>
        <w:t>projekt instalacji siły dla instalacji HVAC,</w:t>
      </w:r>
    </w:p>
    <w:p w14:paraId="276791D7" w14:textId="20DE6545" w:rsidR="00550086" w:rsidRDefault="00550086" w:rsidP="00550086">
      <w:pPr>
        <w:pStyle w:val="Akapitzlist"/>
        <w:numPr>
          <w:ilvl w:val="0"/>
          <w:numId w:val="5"/>
        </w:numPr>
      </w:pPr>
      <w:r>
        <w:t>projekt instalacji tras kablowych,</w:t>
      </w:r>
    </w:p>
    <w:p w14:paraId="5B03D73C" w14:textId="126C5127" w:rsidR="00B26DA4" w:rsidRDefault="00B26DA4" w:rsidP="00550086">
      <w:pPr>
        <w:pStyle w:val="Akapitzlist"/>
        <w:numPr>
          <w:ilvl w:val="0"/>
          <w:numId w:val="5"/>
        </w:numPr>
      </w:pPr>
      <w:r>
        <w:t>dob</w:t>
      </w:r>
      <w:r>
        <w:t>ór</w:t>
      </w:r>
      <w:r>
        <w:t xml:space="preserve"> kabla zasilającego rozdzielnicę lokalu,</w:t>
      </w:r>
    </w:p>
    <w:p w14:paraId="48B0823E" w14:textId="77777777" w:rsidR="00B26DA4" w:rsidRDefault="00550086" w:rsidP="00550086">
      <w:pPr>
        <w:pStyle w:val="Akapitzlist"/>
        <w:numPr>
          <w:ilvl w:val="0"/>
          <w:numId w:val="5"/>
        </w:numPr>
      </w:pPr>
      <w:r>
        <w:t>projekt in</w:t>
      </w:r>
      <w:r w:rsidR="000E2DED">
        <w:t>stalacji połączeń wyrównawczych</w:t>
      </w:r>
      <w:r w:rsidR="00B26DA4">
        <w:t>,</w:t>
      </w:r>
    </w:p>
    <w:p w14:paraId="134C3DC9" w14:textId="164ED8BF" w:rsidR="00550086" w:rsidRDefault="00B26DA4" w:rsidP="00550086">
      <w:pPr>
        <w:pStyle w:val="Akapitzlist"/>
        <w:numPr>
          <w:ilvl w:val="0"/>
          <w:numId w:val="5"/>
        </w:numPr>
      </w:pPr>
      <w:r>
        <w:t>projekt instalacji odgromowej i uziemiającej</w:t>
      </w:r>
      <w:r w:rsidR="000E2DED">
        <w:t>.</w:t>
      </w:r>
    </w:p>
    <w:p w14:paraId="22AD13F9" w14:textId="381AFF8A" w:rsidR="000E2DED" w:rsidRDefault="000E2DED" w:rsidP="000E2DED">
      <w:r>
        <w:t>Opracowanie nie zawiera:</w:t>
      </w:r>
    </w:p>
    <w:p w14:paraId="4293B888" w14:textId="1F32BF05" w:rsidR="000E2DED" w:rsidRDefault="000E2DED" w:rsidP="000E2DED">
      <w:pPr>
        <w:pStyle w:val="Akapitzlist"/>
        <w:numPr>
          <w:ilvl w:val="0"/>
          <w:numId w:val="5"/>
        </w:numPr>
      </w:pPr>
      <w:r>
        <w:t>trasy i doboru kabla zasilającego rozdzielnicę lokalu,</w:t>
      </w:r>
    </w:p>
    <w:p w14:paraId="2903749D" w14:textId="78D6D5FD" w:rsidR="000E2DED" w:rsidRDefault="000E2DED" w:rsidP="000E2DED">
      <w:pPr>
        <w:pStyle w:val="Akapitzlist"/>
        <w:numPr>
          <w:ilvl w:val="0"/>
          <w:numId w:val="5"/>
        </w:numPr>
      </w:pPr>
      <w:r>
        <w:t>instalacji niskoprądowych,</w:t>
      </w:r>
    </w:p>
    <w:p w14:paraId="216A8630" w14:textId="64DC4D6F" w:rsidR="000E2DED" w:rsidRDefault="000E2DED" w:rsidP="000E2DED">
      <w:pPr>
        <w:pStyle w:val="Akapitzlist"/>
        <w:numPr>
          <w:ilvl w:val="0"/>
          <w:numId w:val="5"/>
        </w:numPr>
      </w:pPr>
      <w:r>
        <w:t>instalacji automatyki HVAC,</w:t>
      </w:r>
    </w:p>
    <w:p w14:paraId="3EFD63BF" w14:textId="43C7D117" w:rsidR="00761F75" w:rsidRDefault="00761F75" w:rsidP="000E2DED">
      <w:pPr>
        <w:pStyle w:val="Akapitzlist"/>
        <w:numPr>
          <w:ilvl w:val="0"/>
          <w:numId w:val="5"/>
        </w:numPr>
      </w:pPr>
      <w:r>
        <w:t>instalacji nagłośnienia,</w:t>
      </w:r>
      <w:r w:rsidR="00B26DA4">
        <w:t xml:space="preserve"> CCTV, odbiorów gwarantowanych,</w:t>
      </w:r>
    </w:p>
    <w:p w14:paraId="166B4B0D" w14:textId="72938558" w:rsidR="000E2DED" w:rsidRDefault="000E2DED" w:rsidP="000E2DED">
      <w:pPr>
        <w:pStyle w:val="Akapitzlist"/>
        <w:numPr>
          <w:ilvl w:val="0"/>
          <w:numId w:val="5"/>
        </w:numPr>
      </w:pPr>
      <w:r>
        <w:t>instalacji SSP i DSO.</w:t>
      </w:r>
    </w:p>
    <w:p w14:paraId="49995378" w14:textId="1F1DDB19" w:rsidR="00550086" w:rsidRDefault="00550086" w:rsidP="00550086"/>
    <w:p w14:paraId="285E16C5" w14:textId="77777777" w:rsidR="0024173D" w:rsidRDefault="0024173D" w:rsidP="00550086"/>
    <w:p w14:paraId="6242B83C" w14:textId="1A2406A0" w:rsidR="00550086" w:rsidRDefault="00550086" w:rsidP="00550086">
      <w:pPr>
        <w:pStyle w:val="Nagwek1"/>
        <w:numPr>
          <w:ilvl w:val="0"/>
          <w:numId w:val="3"/>
        </w:numPr>
      </w:pPr>
      <w:bookmarkStart w:id="4" w:name="_Toc131407867"/>
      <w:r w:rsidRPr="00550086">
        <w:lastRenderedPageBreak/>
        <w:t>Opis projektowanych rozwiązań</w:t>
      </w:r>
      <w:bookmarkEnd w:id="4"/>
    </w:p>
    <w:p w14:paraId="731EEE68" w14:textId="04ACF429" w:rsidR="00550086" w:rsidRDefault="00550086" w:rsidP="00550086"/>
    <w:p w14:paraId="569798EB" w14:textId="6D921D03" w:rsidR="00550086" w:rsidRDefault="00550086" w:rsidP="00550086">
      <w:pPr>
        <w:pStyle w:val="Nagwek1"/>
        <w:numPr>
          <w:ilvl w:val="1"/>
          <w:numId w:val="3"/>
        </w:numPr>
      </w:pPr>
      <w:bookmarkStart w:id="5" w:name="_Toc131407868"/>
      <w:r w:rsidRPr="00550086">
        <w:t xml:space="preserve">Zasilanie lokalu projektowanej </w:t>
      </w:r>
      <w:r w:rsidR="007D10D8">
        <w:t>Drive Thru</w:t>
      </w:r>
      <w:r w:rsidRPr="00550086">
        <w:t xml:space="preserve"> </w:t>
      </w:r>
      <w:r>
        <w:t>„</w:t>
      </w:r>
      <w:proofErr w:type="spellStart"/>
      <w:r w:rsidRPr="00550086">
        <w:t>Burger</w:t>
      </w:r>
      <w:proofErr w:type="spellEnd"/>
      <w:r w:rsidRPr="00550086">
        <w:t xml:space="preserve"> King</w:t>
      </w:r>
      <w:r>
        <w:t>”</w:t>
      </w:r>
      <w:r w:rsidR="007D10D8">
        <w:t xml:space="preserve"> DT280</w:t>
      </w:r>
      <w:bookmarkEnd w:id="5"/>
    </w:p>
    <w:p w14:paraId="7F3ED86B" w14:textId="290185B8" w:rsidR="00550086" w:rsidRDefault="00550086" w:rsidP="00550086"/>
    <w:p w14:paraId="182B72E9" w14:textId="1C4C81D0" w:rsidR="00550086" w:rsidRDefault="007D10D8" w:rsidP="00550086">
      <w:r>
        <w:t>Przedmiotowy budynek zostanie zasilony ze złącza kablowego zlokalizowanego na działce Inwestora</w:t>
      </w:r>
      <w:r w:rsidRPr="007D10D8">
        <w:t xml:space="preserve">. Projektowany przydział mocy </w:t>
      </w:r>
      <w:r>
        <w:t>wynosi 18</w:t>
      </w:r>
      <w:r w:rsidRPr="007D10D8">
        <w:t>0kW. Pomiar energii realizowany jest przez półpośredni układ pomiarowy, zlokalizowany przy</w:t>
      </w:r>
      <w:r>
        <w:t xml:space="preserve"> złączu kablowym</w:t>
      </w:r>
      <w:r w:rsidRPr="007D10D8">
        <w:t>. Od ww. zestawu</w:t>
      </w:r>
      <w:r>
        <w:t xml:space="preserve"> należy ułożyć linię kablową </w:t>
      </w:r>
      <w:r w:rsidR="00EC3FD7" w:rsidRPr="00EC3FD7">
        <w:t>2xYAKXS1x150</w:t>
      </w:r>
      <w:r w:rsidRPr="007D10D8">
        <w:t xml:space="preserve"> do rozdzielnicy głównej </w:t>
      </w:r>
      <w:r w:rsidR="00EC3FD7">
        <w:t>RL</w:t>
      </w:r>
      <w:r w:rsidRPr="007D10D8">
        <w:t xml:space="preserve"> </w:t>
      </w:r>
      <w:r w:rsidR="00EC3FD7">
        <w:t>lokalu</w:t>
      </w:r>
      <w:r w:rsidRPr="007D10D8">
        <w:t xml:space="preserve">, poprzez skrzynkę </w:t>
      </w:r>
      <w:r w:rsidR="00EC3FD7">
        <w:t>T-PWP</w:t>
      </w:r>
      <w:r w:rsidRPr="007D10D8">
        <w:t xml:space="preserve"> (skrzynka wyłącznika głównego)</w:t>
      </w:r>
      <w:r w:rsidR="00EC3FD7">
        <w:t>.</w:t>
      </w:r>
    </w:p>
    <w:p w14:paraId="3A73BFA2" w14:textId="1DDE9957" w:rsidR="00550086" w:rsidRDefault="00550086" w:rsidP="00550086">
      <w:r>
        <w:t xml:space="preserve">Rozdzielnica </w:t>
      </w:r>
      <w:r w:rsidR="00516F0A">
        <w:t>RL</w:t>
      </w:r>
      <w:r>
        <w:t xml:space="preserve"> zostanie zasilona zza głównego wyłącznika prądu odcinające</w:t>
      </w:r>
      <w:r w:rsidR="000E2DED">
        <w:t>go</w:t>
      </w:r>
      <w:r>
        <w:t xml:space="preserve"> zasilanie w całym obiekcie. Lokalizacja </w:t>
      </w:r>
      <w:r w:rsidR="000E2DED">
        <w:t xml:space="preserve">głównego </w:t>
      </w:r>
      <w:r>
        <w:t xml:space="preserve">przeciwpożarowego wyłącznika prądu </w:t>
      </w:r>
      <w:r w:rsidR="000E2DED">
        <w:t xml:space="preserve">dla obiektu </w:t>
      </w:r>
      <w:r w:rsidR="00EC3FD7">
        <w:t>została przedstawiona na planach</w:t>
      </w:r>
      <w:r>
        <w:t>. Przycisk</w:t>
      </w:r>
      <w:r w:rsidR="00EC3FD7">
        <w:t>i sterujące</w:t>
      </w:r>
      <w:r>
        <w:t xml:space="preserve"> </w:t>
      </w:r>
      <w:r w:rsidR="00EC3FD7">
        <w:t>głównym</w:t>
      </w:r>
      <w:r>
        <w:t xml:space="preserve"> </w:t>
      </w:r>
      <w:r w:rsidR="00EC3FD7">
        <w:t>przeciwpożarowym</w:t>
      </w:r>
      <w:r>
        <w:t xml:space="preserve"> wył</w:t>
      </w:r>
      <w:r w:rsidR="00EC3FD7">
        <w:t>ącznikiem prądu będą znajdowane</w:t>
      </w:r>
      <w:r>
        <w:t xml:space="preserve"> w </w:t>
      </w:r>
      <w:r w:rsidR="00EC3FD7">
        <w:t>miejscu</w:t>
      </w:r>
      <w:r>
        <w:t xml:space="preserve"> wskazan</w:t>
      </w:r>
      <w:r w:rsidR="00EC3FD7">
        <w:t>ym</w:t>
      </w:r>
      <w:r>
        <w:t xml:space="preserve"> na planie lokalu.</w:t>
      </w:r>
    </w:p>
    <w:p w14:paraId="66B4B54B" w14:textId="2769B512" w:rsidR="00CE4B09" w:rsidRDefault="00550086" w:rsidP="00550086">
      <w:pPr>
        <w:pStyle w:val="Nagwek1"/>
        <w:numPr>
          <w:ilvl w:val="1"/>
          <w:numId w:val="3"/>
        </w:numPr>
      </w:pPr>
      <w:bookmarkStart w:id="6" w:name="_Toc131407869"/>
      <w:r w:rsidRPr="00550086">
        <w:t xml:space="preserve">Instalacja zasilania </w:t>
      </w:r>
      <w:r w:rsidR="00CE4B09">
        <w:t>gniazd i wypustów</w:t>
      </w:r>
      <w:bookmarkEnd w:id="6"/>
    </w:p>
    <w:p w14:paraId="35C7BEA6" w14:textId="056DED7A" w:rsidR="00550086" w:rsidRDefault="00CE4B09" w:rsidP="00CE4B09">
      <w:pPr>
        <w:pStyle w:val="Nagwek1"/>
        <w:numPr>
          <w:ilvl w:val="2"/>
          <w:numId w:val="3"/>
        </w:numPr>
      </w:pPr>
      <w:bookmarkStart w:id="7" w:name="_Toc131407870"/>
      <w:r>
        <w:t>Urządzenia technologiczne</w:t>
      </w:r>
      <w:r w:rsidR="00550086" w:rsidRPr="00550086">
        <w:t xml:space="preserve"> kuchni, chłodu i podgrzewu</w:t>
      </w:r>
      <w:bookmarkEnd w:id="7"/>
    </w:p>
    <w:p w14:paraId="51766F6F" w14:textId="5222C76E" w:rsidR="00550086" w:rsidRDefault="00550086" w:rsidP="00550086"/>
    <w:p w14:paraId="49919C9C" w14:textId="0650957D" w:rsidR="00550086" w:rsidRDefault="00550086" w:rsidP="00550086">
      <w:r>
        <w:t xml:space="preserve">Urządzenia wyposażenia kuchni będą zasilane z rozdzielnicy głównej </w:t>
      </w:r>
      <w:r w:rsidR="00516F0A">
        <w:t>RL</w:t>
      </w:r>
      <w:r>
        <w:t xml:space="preserve">. Instalację zasilania urządzeń należy wykonać przewodami typu </w:t>
      </w:r>
      <w:proofErr w:type="spellStart"/>
      <w:r w:rsidR="00EC3FD7">
        <w:t>YDYżo</w:t>
      </w:r>
      <w:proofErr w:type="spellEnd"/>
      <w:r w:rsidR="00EC3FD7">
        <w:t>/</w:t>
      </w:r>
      <w:proofErr w:type="spellStart"/>
      <w:r w:rsidR="00EC3FD7">
        <w:t>YKYżo</w:t>
      </w:r>
      <w:proofErr w:type="spellEnd"/>
      <w:r>
        <w:t xml:space="preserve"> o przekroju wskazanym w tablicy kablowej</w:t>
      </w:r>
      <w:r w:rsidR="00CE4B09">
        <w:t xml:space="preserve"> lub na schemacie</w:t>
      </w:r>
      <w:r>
        <w:t>. W ramach opracowania przewiduje się gniazda wtyczkowe 1- i 3-fazowe. Dla urządzeń zasilanych 3-fazowo należy zastosować gniazda 3-fazowe z wbudowanym wyłącznikiem.</w:t>
      </w:r>
      <w:r w:rsidR="00CD2429" w:rsidRPr="00CD2429">
        <w:t xml:space="preserve"> </w:t>
      </w:r>
      <w:r w:rsidR="00CD2429">
        <w:t xml:space="preserve">Należy stosować osprzęt PCE lub innego producenta o parametrach nie gorszych niż wyżej wymieniony. </w:t>
      </w:r>
      <w:r w:rsidR="00011392">
        <w:t>Należy stosować osprzęt o stopniu szczelności IP44</w:t>
      </w:r>
      <w:r>
        <w:t xml:space="preserve"> </w:t>
      </w:r>
      <w:r w:rsidR="00011392">
        <w:t xml:space="preserve">lub wyższym. </w:t>
      </w:r>
      <w:r w:rsidR="00CE4B09">
        <w:t xml:space="preserve">Większość urządzeń należy zasilić z gniazd wtykowych typu CEE ( typ gniazda określony w spisie urządzeń). </w:t>
      </w:r>
      <w:r>
        <w:t>Wytyczne do  rozmieszczenia i typu gniazd przedstawiono na planie IE02.</w:t>
      </w:r>
      <w:r w:rsidR="00630EEA">
        <w:t xml:space="preserve"> Ze względu na możliwość zapalenia się oleju w brojlerze lub </w:t>
      </w:r>
      <w:proofErr w:type="spellStart"/>
      <w:r w:rsidR="00630EEA">
        <w:t>frytownicach</w:t>
      </w:r>
      <w:proofErr w:type="spellEnd"/>
      <w:r w:rsidR="00EA667D">
        <w:t xml:space="preserve"> i związanego z tym zagrożenia pożarowego</w:t>
      </w:r>
      <w:r w:rsidR="00630EEA">
        <w:t xml:space="preserve"> został zastosowany system </w:t>
      </w:r>
      <w:proofErr w:type="spellStart"/>
      <w:r w:rsidR="00630EEA">
        <w:t>Ansul</w:t>
      </w:r>
      <w:proofErr w:type="spellEnd"/>
      <w:r w:rsidR="00630EEA">
        <w:t>. System ten</w:t>
      </w:r>
      <w:r w:rsidR="00EA667D">
        <w:t xml:space="preserve"> ma za zadanie podać sygnał na wyłączenie obwodów zasilających w/w urządzenia w przypadku zapalenia się oleju. </w:t>
      </w:r>
    </w:p>
    <w:p w14:paraId="15197885" w14:textId="6DDAFBE2" w:rsidR="00CE4B09" w:rsidRDefault="00CE4B09" w:rsidP="00CE4B09">
      <w:pPr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7D7005D6" wp14:editId="3B67E0F7">
            <wp:extent cx="1543050" cy="2373923"/>
            <wp:effectExtent l="0" t="0" r="0" b="7620"/>
            <wp:docPr id="2" name="Obraz 2" descr="https://www.maristo.pl/userdata/public/gfx/3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aristo.pl/userdata/public/gfx/30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467" cy="2379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E41FE" w14:textId="3D3DA351" w:rsidR="00CE4B09" w:rsidRDefault="00CE4B09" w:rsidP="00CE4B09">
      <w:pPr>
        <w:jc w:val="center"/>
      </w:pPr>
      <w:r>
        <w:t>Przykładowe gniazdo CEE 230V</w:t>
      </w:r>
    </w:p>
    <w:p w14:paraId="0D31408A" w14:textId="77777777" w:rsidR="00CE4B09" w:rsidRDefault="00CE4B09" w:rsidP="00550086"/>
    <w:p w14:paraId="7231E4B6" w14:textId="097B108D" w:rsidR="00550086" w:rsidRDefault="00550086" w:rsidP="00550086">
      <w:r>
        <w:t xml:space="preserve">Urządzenia instalacji chłodu, będą zasilane odpowiednio: chłodnia z rozdzielnicy TCH i mroźnia z rozdzielnicy TMR. Wymienione rozdzielnice są w zakresie dostawy producentów mroźni i chłodni. Rozdzielnice TCH i TMR będą zasilane z rozdzielnicy głównej </w:t>
      </w:r>
      <w:r w:rsidR="00516F0A">
        <w:t>RL</w:t>
      </w:r>
      <w:r>
        <w:t xml:space="preserve">. Zasilania należy wykonać przewodami </w:t>
      </w:r>
      <w:proofErr w:type="spellStart"/>
      <w:r>
        <w:t>bezhalogenowymi</w:t>
      </w:r>
      <w:proofErr w:type="spellEnd"/>
      <w:r>
        <w:t xml:space="preserve"> typu </w:t>
      </w:r>
      <w:proofErr w:type="spellStart"/>
      <w:r w:rsidR="00EC3FD7">
        <w:t>YDYżo</w:t>
      </w:r>
      <w:proofErr w:type="spellEnd"/>
      <w:r>
        <w:t xml:space="preserve"> 5x6 mm2. W ramach opracowania przewidziano wypusty kablowe pod stropem w </w:t>
      </w:r>
      <w:r w:rsidR="00EC3FD7">
        <w:t>kuchni</w:t>
      </w:r>
      <w:r>
        <w:t>.</w:t>
      </w:r>
    </w:p>
    <w:p w14:paraId="27B43262" w14:textId="54AA8291" w:rsidR="00550086" w:rsidRDefault="00CE4B09" w:rsidP="00CE4B09">
      <w:pPr>
        <w:pStyle w:val="Nagwek1"/>
        <w:numPr>
          <w:ilvl w:val="2"/>
          <w:numId w:val="3"/>
        </w:numPr>
      </w:pPr>
      <w:bookmarkStart w:id="8" w:name="_Toc131407871"/>
      <w:r>
        <w:t>Urządzenia elektryczne</w:t>
      </w:r>
      <w:r w:rsidR="00550086" w:rsidRPr="00550086">
        <w:t xml:space="preserve"> HVAC</w:t>
      </w:r>
      <w:bookmarkEnd w:id="8"/>
    </w:p>
    <w:p w14:paraId="6B454259" w14:textId="5B0F4DC3" w:rsidR="00550086" w:rsidRDefault="00550086" w:rsidP="00550086"/>
    <w:p w14:paraId="75270E60" w14:textId="0973D7C1" w:rsidR="00550086" w:rsidRDefault="00550086" w:rsidP="00550086">
      <w:r w:rsidRPr="00550086">
        <w:t xml:space="preserve">Urządzenia elektryczne instalacji HVAC będą zasilane z rozdzielnicy </w:t>
      </w:r>
      <w:r w:rsidR="002B1465">
        <w:t xml:space="preserve">RL (sekcja </w:t>
      </w:r>
      <w:r w:rsidRPr="00550086">
        <w:t>TW</w:t>
      </w:r>
      <w:r w:rsidR="002B1465">
        <w:t>)</w:t>
      </w:r>
      <w:r w:rsidRPr="00550086">
        <w:t>. Urządzenia zainstalowane na dachu b</w:t>
      </w:r>
      <w:r w:rsidR="00EC3FD7">
        <w:t>udynku zasilane będą przewodami</w:t>
      </w:r>
      <w:r w:rsidRPr="00550086">
        <w:t xml:space="preserve"> w izolacji odpornej na promieniowanie UV. Przewody na dachu należy prowadzić w  korytach ocynkowany</w:t>
      </w:r>
      <w:r w:rsidR="002B1465">
        <w:t>ch</w:t>
      </w:r>
      <w:r w:rsidRPr="00550086">
        <w:t xml:space="preserve"> wraz z pokrywą. W przypadku prowadzenia przewodów/kabli zasilających i sterowniczych poza korytami należy zastosować dodatkową ochronę w postaci </w:t>
      </w:r>
      <w:proofErr w:type="spellStart"/>
      <w:r w:rsidRPr="00550086">
        <w:t>peszla</w:t>
      </w:r>
      <w:proofErr w:type="spellEnd"/>
      <w:r w:rsidRPr="00550086">
        <w:t xml:space="preserve"> odpornego na promieniowanie UV. Przewody i kable należy wyprowadzić na dach przez istniejące przepusty</w:t>
      </w:r>
      <w:r w:rsidR="00761F75">
        <w:t>.</w:t>
      </w:r>
      <w:r w:rsidRPr="00550086">
        <w:t xml:space="preserve"> W razie potrzeby należy uzupełnić uszczelnienie przepustów.</w:t>
      </w:r>
      <w:r w:rsidR="0048309E">
        <w:t xml:space="preserve"> </w:t>
      </w:r>
    </w:p>
    <w:p w14:paraId="5611B000" w14:textId="77777777" w:rsidR="00FD02A4" w:rsidRDefault="00FD02A4" w:rsidP="00550086"/>
    <w:p w14:paraId="137EE735" w14:textId="3D97F89A" w:rsidR="00550086" w:rsidRDefault="00550086" w:rsidP="00550086">
      <w:pPr>
        <w:pStyle w:val="Nagwek1"/>
        <w:numPr>
          <w:ilvl w:val="1"/>
          <w:numId w:val="3"/>
        </w:numPr>
      </w:pPr>
      <w:bookmarkStart w:id="9" w:name="_Toc131407872"/>
      <w:r w:rsidRPr="00550086">
        <w:t xml:space="preserve">Instalacja gniazd </w:t>
      </w:r>
      <w:r w:rsidR="00761F75">
        <w:t>ogólnych</w:t>
      </w:r>
      <w:bookmarkEnd w:id="9"/>
    </w:p>
    <w:p w14:paraId="67C017A4" w14:textId="4F57D621" w:rsidR="00550086" w:rsidRDefault="00550086" w:rsidP="00550086"/>
    <w:p w14:paraId="2807B9AD" w14:textId="5EF31E8A" w:rsidR="00550086" w:rsidRPr="00550086" w:rsidRDefault="00550086" w:rsidP="00550086">
      <w:r w:rsidRPr="00550086">
        <w:t xml:space="preserve">Na terenie lokalu zaprojektowano 1-fazowe gniazda wtyczkowe ogólnego przeznaczenia. Instalację  gniazd wtyczkowych ogólnego przeznaczenia należy wykonać przewodami </w:t>
      </w:r>
      <w:proofErr w:type="spellStart"/>
      <w:r w:rsidRPr="00550086">
        <w:t>bezhalogenowymi</w:t>
      </w:r>
      <w:proofErr w:type="spellEnd"/>
      <w:r w:rsidRPr="00550086">
        <w:t xml:space="preserve"> typu </w:t>
      </w:r>
      <w:proofErr w:type="spellStart"/>
      <w:r w:rsidR="00EC3FD7">
        <w:t>YDYżo</w:t>
      </w:r>
      <w:proofErr w:type="spellEnd"/>
      <w:r w:rsidRPr="00550086">
        <w:t xml:space="preserve"> 3x2,5mm2. Gniazda wtyczkowe będą zasilane z rozdzielnicy </w:t>
      </w:r>
      <w:r w:rsidR="00516F0A">
        <w:t>RL</w:t>
      </w:r>
      <w:r w:rsidRPr="00550086">
        <w:t xml:space="preserve">. Wysokość montażu podtynkowych gniazd </w:t>
      </w:r>
      <w:r w:rsidR="00761F75">
        <w:t>ogólnych</w:t>
      </w:r>
      <w:r w:rsidRPr="00550086">
        <w:t xml:space="preserve"> przeznaczenia wynosi 0,3 m od poziomu podłogi.</w:t>
      </w:r>
      <w:r w:rsidR="00CD2429">
        <w:t xml:space="preserve"> </w:t>
      </w:r>
      <w:r w:rsidR="00A920C6">
        <w:t>W pomieszczeniach mokrych należy stosować osprzęt o stopniu szczelności IP44</w:t>
      </w:r>
      <w:r w:rsidR="00E20AC6">
        <w:t>, natomiast w pomieszczeniach suchych IP20</w:t>
      </w:r>
      <w:r w:rsidR="00A920C6">
        <w:t xml:space="preserve">. Wszystkie gniazda ogólne w kolorze białym. </w:t>
      </w:r>
      <w:r w:rsidR="00CD2429">
        <w:t xml:space="preserve">Należy stosować osprzęt Kontakt-Simon lub innego producenta o parametrach nie gorszych niż wyżej wymieniony. </w:t>
      </w:r>
    </w:p>
    <w:p w14:paraId="1603C7E2" w14:textId="765F5F39" w:rsidR="00550086" w:rsidRDefault="00550086" w:rsidP="00550086">
      <w:pPr>
        <w:pStyle w:val="Nagwek1"/>
        <w:numPr>
          <w:ilvl w:val="1"/>
          <w:numId w:val="3"/>
        </w:numPr>
      </w:pPr>
      <w:bookmarkStart w:id="10" w:name="_Toc131407873"/>
      <w:r w:rsidRPr="00550086">
        <w:lastRenderedPageBreak/>
        <w:t>Instalacja oświetlenia podstawowego</w:t>
      </w:r>
      <w:bookmarkEnd w:id="10"/>
    </w:p>
    <w:p w14:paraId="43D512B4" w14:textId="603B6D1D" w:rsidR="00550086" w:rsidRDefault="00550086" w:rsidP="00550086"/>
    <w:p w14:paraId="3DBA3900" w14:textId="25445C39" w:rsidR="00550086" w:rsidRDefault="00550086" w:rsidP="00550086">
      <w:r>
        <w:t xml:space="preserve">Instalacja oświetlenia podstawowego będzie wyposażona w oprawy oświetleniowe ze źródłami światła typu LED. Oprawy wraz ze źródłami dobrano </w:t>
      </w:r>
      <w:r w:rsidR="00761F75">
        <w:t>tak, aby natężenie spełniało wymagania zawarte</w:t>
      </w:r>
      <w:r>
        <w:t xml:space="preserve"> w normie PN-EN 12464-1 „Światło i oświetlenie – Oświetlenie miejsc pracy”. W tabeli przedstawiono poziomy natężenie oświetlenia w określonym przestrzeniach na terenie opracowywanego lokalu.</w:t>
      </w:r>
    </w:p>
    <w:p w14:paraId="2C297F55" w14:textId="77777777" w:rsidR="00550086" w:rsidRDefault="00550086" w:rsidP="00550086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2906"/>
      </w:tblGrid>
      <w:tr w:rsidR="00550086" w:rsidRPr="00550110" w14:paraId="498B0D24" w14:textId="77777777" w:rsidTr="00550110">
        <w:trPr>
          <w:jc w:val="center"/>
        </w:trPr>
        <w:tc>
          <w:tcPr>
            <w:tcW w:w="3823" w:type="dxa"/>
            <w:vAlign w:val="center"/>
          </w:tcPr>
          <w:p w14:paraId="468ECBE6" w14:textId="77777777" w:rsidR="00550086" w:rsidRPr="00CD2429" w:rsidRDefault="00550086" w:rsidP="00550110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D2429">
              <w:rPr>
                <w:rFonts w:asciiTheme="minorHAnsi" w:hAnsiTheme="minorHAnsi" w:cstheme="minorHAnsi"/>
                <w:b/>
                <w:bCs/>
              </w:rPr>
              <w:t>Pomieszczenie</w:t>
            </w:r>
          </w:p>
        </w:tc>
        <w:tc>
          <w:tcPr>
            <w:tcW w:w="2906" w:type="dxa"/>
            <w:vAlign w:val="center"/>
          </w:tcPr>
          <w:p w14:paraId="6F3118A3" w14:textId="77777777" w:rsidR="00550086" w:rsidRPr="00CD2429" w:rsidRDefault="00550086" w:rsidP="00550110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D2429">
              <w:rPr>
                <w:rFonts w:asciiTheme="minorHAnsi" w:hAnsiTheme="minorHAnsi" w:cstheme="minorHAnsi"/>
                <w:b/>
                <w:bCs/>
              </w:rPr>
              <w:t>Minimalne średnie natężenie oświetlenia Em [</w:t>
            </w:r>
            <w:proofErr w:type="spellStart"/>
            <w:r w:rsidRPr="00CD2429">
              <w:rPr>
                <w:rFonts w:asciiTheme="minorHAnsi" w:hAnsiTheme="minorHAnsi" w:cstheme="minorHAnsi"/>
                <w:b/>
                <w:bCs/>
              </w:rPr>
              <w:t>Lx</w:t>
            </w:r>
            <w:proofErr w:type="spellEnd"/>
            <w:r w:rsidRPr="00CD2429">
              <w:rPr>
                <w:rFonts w:asciiTheme="minorHAnsi" w:hAnsiTheme="minorHAnsi" w:cstheme="minorHAnsi"/>
                <w:b/>
                <w:bCs/>
              </w:rPr>
              <w:t>]</w:t>
            </w:r>
          </w:p>
        </w:tc>
      </w:tr>
      <w:tr w:rsidR="00550086" w14:paraId="18027709" w14:textId="77777777" w:rsidTr="00550110">
        <w:trPr>
          <w:jc w:val="center"/>
        </w:trPr>
        <w:tc>
          <w:tcPr>
            <w:tcW w:w="3823" w:type="dxa"/>
          </w:tcPr>
          <w:p w14:paraId="7683F584" w14:textId="77777777" w:rsidR="00550086" w:rsidRPr="00CD2429" w:rsidRDefault="00550086" w:rsidP="00550110">
            <w:pPr>
              <w:ind w:firstLine="30"/>
              <w:rPr>
                <w:rFonts w:asciiTheme="minorHAnsi" w:hAnsiTheme="minorHAnsi" w:cstheme="minorHAnsi"/>
              </w:rPr>
            </w:pPr>
            <w:r w:rsidRPr="00CD2429">
              <w:rPr>
                <w:rFonts w:asciiTheme="minorHAnsi" w:hAnsiTheme="minorHAnsi" w:cstheme="minorHAnsi"/>
              </w:rPr>
              <w:t>Kuchnia</w:t>
            </w:r>
          </w:p>
        </w:tc>
        <w:tc>
          <w:tcPr>
            <w:tcW w:w="2906" w:type="dxa"/>
          </w:tcPr>
          <w:p w14:paraId="3F6EC82F" w14:textId="77777777" w:rsidR="00550086" w:rsidRPr="00CD2429" w:rsidRDefault="00550086" w:rsidP="00550110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CD2429">
              <w:rPr>
                <w:rFonts w:asciiTheme="minorHAnsi" w:hAnsiTheme="minorHAnsi" w:cstheme="minorHAnsi"/>
              </w:rPr>
              <w:t>500</w:t>
            </w:r>
          </w:p>
        </w:tc>
      </w:tr>
      <w:tr w:rsidR="00550086" w14:paraId="262350F7" w14:textId="77777777" w:rsidTr="00550110">
        <w:trPr>
          <w:jc w:val="center"/>
        </w:trPr>
        <w:tc>
          <w:tcPr>
            <w:tcW w:w="3823" w:type="dxa"/>
          </w:tcPr>
          <w:p w14:paraId="319D6472" w14:textId="77777777" w:rsidR="00550086" w:rsidRPr="00CD2429" w:rsidRDefault="00550086" w:rsidP="00550110">
            <w:pPr>
              <w:ind w:firstLine="30"/>
              <w:rPr>
                <w:rFonts w:asciiTheme="minorHAnsi" w:hAnsiTheme="minorHAnsi" w:cstheme="minorHAnsi"/>
              </w:rPr>
            </w:pPr>
            <w:r w:rsidRPr="00CD2429">
              <w:rPr>
                <w:rFonts w:asciiTheme="minorHAnsi" w:hAnsiTheme="minorHAnsi" w:cstheme="minorHAnsi"/>
              </w:rPr>
              <w:t>Pokój menagera</w:t>
            </w:r>
          </w:p>
        </w:tc>
        <w:tc>
          <w:tcPr>
            <w:tcW w:w="2906" w:type="dxa"/>
          </w:tcPr>
          <w:p w14:paraId="7E232A86" w14:textId="77777777" w:rsidR="00550086" w:rsidRPr="00CD2429" w:rsidRDefault="00550086" w:rsidP="00550110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CD2429">
              <w:rPr>
                <w:rFonts w:asciiTheme="minorHAnsi" w:hAnsiTheme="minorHAnsi" w:cstheme="minorHAnsi"/>
              </w:rPr>
              <w:t>500</w:t>
            </w:r>
          </w:p>
        </w:tc>
      </w:tr>
      <w:tr w:rsidR="00550086" w14:paraId="6077BDFE" w14:textId="77777777" w:rsidTr="00550110">
        <w:trPr>
          <w:jc w:val="center"/>
        </w:trPr>
        <w:tc>
          <w:tcPr>
            <w:tcW w:w="3823" w:type="dxa"/>
          </w:tcPr>
          <w:p w14:paraId="33E5D7FE" w14:textId="77777777" w:rsidR="00550086" w:rsidRPr="00CD2429" w:rsidRDefault="00550086" w:rsidP="00550110">
            <w:pPr>
              <w:ind w:firstLine="30"/>
              <w:rPr>
                <w:rFonts w:asciiTheme="minorHAnsi" w:hAnsiTheme="minorHAnsi" w:cstheme="minorHAnsi"/>
              </w:rPr>
            </w:pPr>
            <w:r w:rsidRPr="00CD2429">
              <w:rPr>
                <w:rFonts w:asciiTheme="minorHAnsi" w:hAnsiTheme="minorHAnsi" w:cstheme="minorHAnsi"/>
              </w:rPr>
              <w:t>Magazyny</w:t>
            </w:r>
          </w:p>
        </w:tc>
        <w:tc>
          <w:tcPr>
            <w:tcW w:w="2906" w:type="dxa"/>
          </w:tcPr>
          <w:p w14:paraId="139BF0F6" w14:textId="77777777" w:rsidR="00550086" w:rsidRPr="00CD2429" w:rsidRDefault="00550086" w:rsidP="00550110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CD2429">
              <w:rPr>
                <w:rFonts w:asciiTheme="minorHAnsi" w:hAnsiTheme="minorHAnsi" w:cstheme="minorHAnsi"/>
              </w:rPr>
              <w:t>100</w:t>
            </w:r>
          </w:p>
        </w:tc>
      </w:tr>
      <w:tr w:rsidR="00550086" w14:paraId="5BE0D830" w14:textId="77777777" w:rsidTr="00550110">
        <w:trPr>
          <w:jc w:val="center"/>
        </w:trPr>
        <w:tc>
          <w:tcPr>
            <w:tcW w:w="3823" w:type="dxa"/>
          </w:tcPr>
          <w:p w14:paraId="6CC0B50D" w14:textId="77777777" w:rsidR="00550086" w:rsidRPr="00CD2429" w:rsidRDefault="00550086" w:rsidP="00550110">
            <w:pPr>
              <w:ind w:firstLine="30"/>
              <w:rPr>
                <w:rFonts w:asciiTheme="minorHAnsi" w:hAnsiTheme="minorHAnsi" w:cstheme="minorHAnsi"/>
              </w:rPr>
            </w:pPr>
            <w:r w:rsidRPr="00CD2429">
              <w:rPr>
                <w:rFonts w:asciiTheme="minorHAnsi" w:hAnsiTheme="minorHAnsi" w:cstheme="minorHAnsi"/>
              </w:rPr>
              <w:t>Korytarze</w:t>
            </w:r>
          </w:p>
        </w:tc>
        <w:tc>
          <w:tcPr>
            <w:tcW w:w="2906" w:type="dxa"/>
          </w:tcPr>
          <w:p w14:paraId="37EEB6A0" w14:textId="77777777" w:rsidR="00550086" w:rsidRPr="00CD2429" w:rsidRDefault="00550086" w:rsidP="00550110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CD2429">
              <w:rPr>
                <w:rFonts w:asciiTheme="minorHAnsi" w:hAnsiTheme="minorHAnsi" w:cstheme="minorHAnsi"/>
              </w:rPr>
              <w:t>100</w:t>
            </w:r>
          </w:p>
        </w:tc>
      </w:tr>
      <w:tr w:rsidR="00550086" w14:paraId="72A427AC" w14:textId="77777777" w:rsidTr="00550110">
        <w:trPr>
          <w:jc w:val="center"/>
        </w:trPr>
        <w:tc>
          <w:tcPr>
            <w:tcW w:w="3823" w:type="dxa"/>
          </w:tcPr>
          <w:p w14:paraId="5BD28EE4" w14:textId="77777777" w:rsidR="00550086" w:rsidRPr="00CD2429" w:rsidRDefault="00550086" w:rsidP="00550110">
            <w:pPr>
              <w:ind w:firstLine="30"/>
              <w:rPr>
                <w:rFonts w:asciiTheme="minorHAnsi" w:hAnsiTheme="minorHAnsi" w:cstheme="minorHAnsi"/>
              </w:rPr>
            </w:pPr>
            <w:r w:rsidRPr="00CD2429">
              <w:rPr>
                <w:rFonts w:asciiTheme="minorHAnsi" w:hAnsiTheme="minorHAnsi" w:cstheme="minorHAnsi"/>
              </w:rPr>
              <w:t>Pomieszczenia techniczne</w:t>
            </w:r>
          </w:p>
        </w:tc>
        <w:tc>
          <w:tcPr>
            <w:tcW w:w="2906" w:type="dxa"/>
          </w:tcPr>
          <w:p w14:paraId="37C0986C" w14:textId="77777777" w:rsidR="00550086" w:rsidRPr="00CD2429" w:rsidRDefault="00550086" w:rsidP="00550110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CD2429">
              <w:rPr>
                <w:rFonts w:asciiTheme="minorHAnsi" w:hAnsiTheme="minorHAnsi" w:cstheme="minorHAnsi"/>
              </w:rPr>
              <w:t>150</w:t>
            </w:r>
          </w:p>
        </w:tc>
      </w:tr>
      <w:tr w:rsidR="00550086" w14:paraId="0ED7041B" w14:textId="77777777" w:rsidTr="00550110">
        <w:trPr>
          <w:jc w:val="center"/>
        </w:trPr>
        <w:tc>
          <w:tcPr>
            <w:tcW w:w="3823" w:type="dxa"/>
          </w:tcPr>
          <w:p w14:paraId="1E92D36B" w14:textId="77777777" w:rsidR="00550086" w:rsidRPr="00CD2429" w:rsidRDefault="00550086" w:rsidP="00550110">
            <w:pPr>
              <w:ind w:firstLine="30"/>
              <w:rPr>
                <w:rFonts w:asciiTheme="minorHAnsi" w:hAnsiTheme="minorHAnsi" w:cstheme="minorHAnsi"/>
              </w:rPr>
            </w:pPr>
            <w:r w:rsidRPr="00CD2429">
              <w:rPr>
                <w:rFonts w:asciiTheme="minorHAnsi" w:hAnsiTheme="minorHAnsi" w:cstheme="minorHAnsi"/>
              </w:rPr>
              <w:t>Pomieszczenia sanitarne i socjalne</w:t>
            </w:r>
          </w:p>
        </w:tc>
        <w:tc>
          <w:tcPr>
            <w:tcW w:w="2906" w:type="dxa"/>
          </w:tcPr>
          <w:p w14:paraId="01C572F0" w14:textId="77777777" w:rsidR="00550086" w:rsidRPr="00CD2429" w:rsidRDefault="00550086" w:rsidP="00550110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CD2429">
              <w:rPr>
                <w:rFonts w:asciiTheme="minorHAnsi" w:hAnsiTheme="minorHAnsi" w:cstheme="minorHAnsi"/>
              </w:rPr>
              <w:t>200</w:t>
            </w:r>
          </w:p>
        </w:tc>
      </w:tr>
    </w:tbl>
    <w:p w14:paraId="098EE194" w14:textId="77777777" w:rsidR="00550086" w:rsidRDefault="00550086" w:rsidP="00550086"/>
    <w:p w14:paraId="1347B587" w14:textId="77777777" w:rsidR="00550086" w:rsidRDefault="00550086" w:rsidP="00550086">
      <w:r>
        <w:t>Podane wartości natężenia oświetlenia podano dla wysokości powierzchni roboczej 0,75m za wyjątkiem korytarzy, dla których powierzchnia robocza wynosi 0,0m.</w:t>
      </w:r>
    </w:p>
    <w:p w14:paraId="62D5D6B0" w14:textId="54DB7A1C" w:rsidR="00550086" w:rsidRDefault="00550086" w:rsidP="00550086">
      <w:r>
        <w:t xml:space="preserve">Instalację oświetlenia podstawowego należy wykonać przewodami </w:t>
      </w:r>
      <w:proofErr w:type="spellStart"/>
      <w:r>
        <w:t>bezhalogenowymi</w:t>
      </w:r>
      <w:proofErr w:type="spellEnd"/>
      <w:r>
        <w:t xml:space="preserve"> typu </w:t>
      </w:r>
      <w:proofErr w:type="spellStart"/>
      <w:r w:rsidR="00EC3FD7">
        <w:t>YDYżo</w:t>
      </w:r>
      <w:proofErr w:type="spellEnd"/>
      <w:r>
        <w:t xml:space="preserve"> 3x1,5mm2 lub 4x1,5mm2. Oprawy oświetlenia podstawowego będą zasilane z rozdzielnicy </w:t>
      </w:r>
      <w:r w:rsidR="00516F0A">
        <w:t>RL</w:t>
      </w:r>
      <w:r w:rsidR="00761F75">
        <w:t>.</w:t>
      </w:r>
      <w:r>
        <w:t xml:space="preserve"> Sterowanie oświetleniem w strefie sprzedaży, w kuchni oraz pomieszczeniu menagera będzie realizowane za pomocą sterownika </w:t>
      </w:r>
      <w:r w:rsidRPr="00DF2F23">
        <w:t xml:space="preserve">oświetlenia. </w:t>
      </w:r>
      <w:r w:rsidR="00A920C6" w:rsidRPr="00DF2F23">
        <w:t xml:space="preserve">Przewiduje się możliwość awaryjnego załączenia oświetlenia poza systemem sterowania </w:t>
      </w:r>
      <w:r w:rsidR="00DF2F23" w:rsidRPr="00DF2F23">
        <w:t xml:space="preserve">z panelu automatyki. </w:t>
      </w:r>
      <w:r w:rsidRPr="00DF2F23">
        <w:t>Pozostałe pomieszczenia sterowane będą za pomocą czujników obecności.</w:t>
      </w:r>
      <w:r w:rsidR="00A920C6">
        <w:t xml:space="preserve"> </w:t>
      </w:r>
    </w:p>
    <w:p w14:paraId="384CA5A0" w14:textId="409A0005" w:rsidR="00550086" w:rsidRDefault="00550086" w:rsidP="00550086">
      <w:pPr>
        <w:pStyle w:val="Nagwek1"/>
        <w:numPr>
          <w:ilvl w:val="1"/>
          <w:numId w:val="3"/>
        </w:numPr>
      </w:pPr>
      <w:bookmarkStart w:id="11" w:name="_Toc131407874"/>
      <w:r w:rsidRPr="00550086">
        <w:t>Instalacja oświetlenia awaryjnego ewakuacyjnego</w:t>
      </w:r>
      <w:bookmarkEnd w:id="11"/>
    </w:p>
    <w:p w14:paraId="6EFF90BD" w14:textId="5D608317" w:rsidR="00550086" w:rsidRDefault="00550086" w:rsidP="00550086"/>
    <w:p w14:paraId="471F6337" w14:textId="5B6E6F2C" w:rsidR="001F359D" w:rsidRDefault="001F359D" w:rsidP="001F359D">
      <w:r>
        <w:t xml:space="preserve">W ciągach komunikacyjnych i korytarzach, zastosowane zostaną oprawy awaryjne z własnym źródłem zasilania (modułem awaryjnym) pracującymi przez min. 1h. Obwody oświetlenia awaryjnego ewakuacyjnego kierunkowego będą zasilane bezpośrednio z wydzielonych obwodów rozdzielnicy głównej </w:t>
      </w:r>
      <w:r w:rsidR="00516F0A">
        <w:t>RL</w:t>
      </w:r>
      <w:r>
        <w:t>.</w:t>
      </w:r>
    </w:p>
    <w:p w14:paraId="1A2E1AA9" w14:textId="77777777" w:rsidR="001F359D" w:rsidRDefault="001F359D" w:rsidP="001F359D">
      <w:r>
        <w:t xml:space="preserve">Na drogach ewakuacyjnych zostaną umieszczone oprawy ewakuacyjne z piktogramami wskazującymi kierunek ewakuacji (załączone na stałe). </w:t>
      </w:r>
    </w:p>
    <w:p w14:paraId="75C18B86" w14:textId="77777777" w:rsidR="001F359D" w:rsidRDefault="001F359D" w:rsidP="001F359D">
      <w:r>
        <w:t xml:space="preserve">Awaryjne oświetlenie ewakuacyjne będzie załączane automatycznie w czasie  min. 2s od zaniku oświetlenia podstawowego, średnie natężenia oświetlenia na podłodze wzdłuż środkowej linii drogi ewakuacyjnej powinno być nie mniejsze niż 2lx, a na centralnym pasie obejmującym nie mniej niż połowę szerokości drogi, natężenie oświetlenia powinno stanowić </w:t>
      </w:r>
      <w:r>
        <w:lastRenderedPageBreak/>
        <w:t>co najmniej 1lx. Dodatkowo przy urządzeniach ochrony przeciwpożarowej należy zastosować oświetlenie awaryjne dające natężenie oświetlenia co najmniej 5lx na poziomie podłogi.</w:t>
      </w:r>
    </w:p>
    <w:p w14:paraId="1D12947C" w14:textId="77777777" w:rsidR="001F359D" w:rsidRDefault="001F359D" w:rsidP="001F359D">
      <w:r>
        <w:t>Oprawy posiadające moduł awaryjny są traktowane jako wyrób służący zapewnieniu bezpieczeństwa publicznego lub ochronie zdrowia i życia oraz mienia. Oprawy muszą posiadać odpowiednie świadectwa dopuszczenia do stosowania w ochronie przeciwpożarowe wydane przez CNBOP.</w:t>
      </w:r>
    </w:p>
    <w:p w14:paraId="5A9200DD" w14:textId="2233EFA3" w:rsidR="00550086" w:rsidRDefault="001F359D" w:rsidP="001F359D">
      <w:r>
        <w:t xml:space="preserve">Na oprawach ewakuacyjnych z piktogramami umieszczać piktogramy zgodnie </w:t>
      </w:r>
      <w:r w:rsidR="00011392">
        <w:t xml:space="preserve">z opracowaniem </w:t>
      </w:r>
      <w:r w:rsidR="000B7F77">
        <w:t>kierunków ewakuacji</w:t>
      </w:r>
      <w:r>
        <w:t>.</w:t>
      </w:r>
      <w:r w:rsidR="000B7F77">
        <w:t xml:space="preserve"> Wewnątrz lokalu nie występują drogi ewakuacyjne.</w:t>
      </w:r>
    </w:p>
    <w:p w14:paraId="3D7CF44A" w14:textId="77777777" w:rsidR="00F74A93" w:rsidRDefault="00F74A93" w:rsidP="001F359D"/>
    <w:p w14:paraId="4450A79E" w14:textId="48C7CBDF" w:rsidR="00550086" w:rsidRDefault="00550086" w:rsidP="00550086">
      <w:pPr>
        <w:pStyle w:val="Nagwek1"/>
        <w:numPr>
          <w:ilvl w:val="1"/>
          <w:numId w:val="3"/>
        </w:numPr>
      </w:pPr>
      <w:bookmarkStart w:id="12" w:name="_Toc131407875"/>
      <w:r w:rsidRPr="00550086">
        <w:t>Instalacja systemu nagłośnienia lokalu</w:t>
      </w:r>
      <w:bookmarkEnd w:id="12"/>
    </w:p>
    <w:p w14:paraId="51BE154B" w14:textId="4446861D" w:rsidR="00550086" w:rsidRDefault="00EC3FD7" w:rsidP="00550086">
      <w:r>
        <w:t xml:space="preserve">Instalacja </w:t>
      </w:r>
      <w:r>
        <w:t>nagłośnienia</w:t>
      </w:r>
      <w:r>
        <w:t xml:space="preserve"> jest poza zakresem opracowania.</w:t>
      </w:r>
    </w:p>
    <w:p w14:paraId="21256632" w14:textId="059F56DD" w:rsidR="00F74A93" w:rsidRDefault="00F74A93" w:rsidP="00F74A93">
      <w:pPr>
        <w:pStyle w:val="Nagwek1"/>
        <w:numPr>
          <w:ilvl w:val="1"/>
          <w:numId w:val="3"/>
        </w:numPr>
      </w:pPr>
      <w:bookmarkStart w:id="13" w:name="_Toc131407876"/>
      <w:r>
        <w:t>Instalacja kontroli dostępu</w:t>
      </w:r>
      <w:bookmarkEnd w:id="13"/>
    </w:p>
    <w:p w14:paraId="53B5E39B" w14:textId="7E27CC21" w:rsidR="00EC3FD7" w:rsidRDefault="00EC3FD7" w:rsidP="00EC3FD7">
      <w:r>
        <w:t xml:space="preserve">Instalacja </w:t>
      </w:r>
      <w:r>
        <w:t>kontroli dostępu</w:t>
      </w:r>
      <w:r>
        <w:t xml:space="preserve"> jest poza zakresem opracowania.</w:t>
      </w:r>
    </w:p>
    <w:p w14:paraId="7ACDCA26" w14:textId="0EC3A28E" w:rsidR="00550086" w:rsidRDefault="00550086" w:rsidP="00550086">
      <w:pPr>
        <w:pStyle w:val="Nagwek1"/>
        <w:numPr>
          <w:ilvl w:val="1"/>
          <w:numId w:val="3"/>
        </w:numPr>
      </w:pPr>
      <w:bookmarkStart w:id="14" w:name="_Toc131407877"/>
      <w:r w:rsidRPr="00550086">
        <w:t>Instalacja połączeń wyrównawczych</w:t>
      </w:r>
      <w:bookmarkEnd w:id="14"/>
    </w:p>
    <w:p w14:paraId="2E6448E8" w14:textId="76D2E283" w:rsidR="001F359D" w:rsidRDefault="001F359D" w:rsidP="001F359D">
      <w:r>
        <w:t xml:space="preserve">W celu zapewnienia dodatkowej ochrony przed porażeniem w lokalu przewiduje się główną szynę wyrównawczą (GSW), którą należy zlokalizować przy rozdzielnicy </w:t>
      </w:r>
      <w:r w:rsidR="00516F0A">
        <w:t>RL</w:t>
      </w:r>
      <w:r>
        <w:t>, a także połączyć z szyną PE.</w:t>
      </w:r>
    </w:p>
    <w:p w14:paraId="584DAE38" w14:textId="77777777" w:rsidR="001F359D" w:rsidRDefault="001F359D" w:rsidP="001F359D">
      <w:r>
        <w:t>Do GSW należy wykonać połączenia wyrównawcze od instalacji wykonanych z materiałów przewodzących, m.in. części instalacji wodnych, kanałów wentylacyjnych, koryt kablowych, itp.</w:t>
      </w:r>
    </w:p>
    <w:p w14:paraId="37216E30" w14:textId="1322EAB3" w:rsidR="001F359D" w:rsidRDefault="001F359D" w:rsidP="001F359D">
      <w:r>
        <w:t>Przewiduje się również lokalne szyny wyrównawcze (LSW) służące do wykonania połączeń wyrównawczych pomiędzy urządzeniami wyposażenia kuchni, obudowami innych urządzeń,</w:t>
      </w:r>
      <w:r w:rsidR="00FF713B">
        <w:t xml:space="preserve"> elementów stałych takich jak ścianki wykonanych ze stali nierdzewnej,</w:t>
      </w:r>
      <w:r>
        <w:t xml:space="preserve"> a także mebli wykonanych z materiałów przewodzących.</w:t>
      </w:r>
    </w:p>
    <w:p w14:paraId="188D0B18" w14:textId="77777777" w:rsidR="001F359D" w:rsidRDefault="001F359D" w:rsidP="001F359D">
      <w:r>
        <w:t>Połączenia wyrównawcze wykonać zgodnie z wytycznymi producenta urządzeń. Jeżeli producent nie określa sposobu połączeń, należy wykonać te połączenia zgodnie ze standardem Inwestora.</w:t>
      </w:r>
    </w:p>
    <w:p w14:paraId="75EF6185" w14:textId="33B1EE3B" w:rsidR="001F359D" w:rsidRDefault="001F359D" w:rsidP="001F359D">
      <w:r>
        <w:t>Wszystkie połączenia wyrównawcze</w:t>
      </w:r>
      <w:r w:rsidR="00F01BF4">
        <w:t xml:space="preserve"> od urządzeń</w:t>
      </w:r>
      <w:r>
        <w:t xml:space="preserve"> do GSW oraz LSW należy wykon</w:t>
      </w:r>
      <w:r w:rsidR="00F01BF4">
        <w:t xml:space="preserve">ać linką </w:t>
      </w:r>
      <w:proofErr w:type="spellStart"/>
      <w:r w:rsidR="00F01BF4">
        <w:t>Lg</w:t>
      </w:r>
      <w:r>
        <w:t>Yżo</w:t>
      </w:r>
      <w:proofErr w:type="spellEnd"/>
      <w:r>
        <w:t xml:space="preserve"> 6mm</w:t>
      </w:r>
      <w:r w:rsidRPr="00F01BF4">
        <w:rPr>
          <w:vertAlign w:val="superscript"/>
        </w:rPr>
        <w:t>2</w:t>
      </w:r>
      <w:r>
        <w:t>.</w:t>
      </w:r>
    </w:p>
    <w:p w14:paraId="05C3A653" w14:textId="5B45C325" w:rsidR="00550086" w:rsidRDefault="001F359D" w:rsidP="001F359D">
      <w:r>
        <w:t xml:space="preserve">Połączenia wyrównawcze pomiędzy </w:t>
      </w:r>
      <w:r w:rsidR="00F01BF4">
        <w:t>główną szyną wyrównawczą</w:t>
      </w:r>
      <w:r>
        <w:t xml:space="preserve">, a </w:t>
      </w:r>
      <w:r w:rsidR="00F01BF4">
        <w:t>lokalną szyną wyrównawczą</w:t>
      </w:r>
      <w:r>
        <w:t xml:space="preserve"> należy wykonać linką </w:t>
      </w:r>
      <w:proofErr w:type="spellStart"/>
      <w:r>
        <w:t>L</w:t>
      </w:r>
      <w:r w:rsidR="00F01BF4">
        <w:t>g</w:t>
      </w:r>
      <w:r>
        <w:t>Yżo</w:t>
      </w:r>
      <w:proofErr w:type="spellEnd"/>
      <w:r>
        <w:t xml:space="preserve"> 10mm</w:t>
      </w:r>
      <w:r w:rsidRPr="00F01BF4">
        <w:rPr>
          <w:vertAlign w:val="superscript"/>
        </w:rPr>
        <w:t>2</w:t>
      </w:r>
      <w:r>
        <w:t>.</w:t>
      </w:r>
    </w:p>
    <w:p w14:paraId="32051ED8" w14:textId="77777777" w:rsidR="00FD02A4" w:rsidRDefault="00FD02A4" w:rsidP="001F359D"/>
    <w:p w14:paraId="373758E0" w14:textId="2235BBA9" w:rsidR="00550086" w:rsidRDefault="00550086" w:rsidP="00550086">
      <w:pPr>
        <w:pStyle w:val="Nagwek1"/>
        <w:numPr>
          <w:ilvl w:val="1"/>
          <w:numId w:val="3"/>
        </w:numPr>
      </w:pPr>
      <w:bookmarkStart w:id="15" w:name="_Toc131407878"/>
      <w:r w:rsidRPr="00550086">
        <w:t>Instalacja odgromowa</w:t>
      </w:r>
      <w:r w:rsidR="00267762">
        <w:t xml:space="preserve"> i uziemiająca</w:t>
      </w:r>
      <w:bookmarkEnd w:id="15"/>
    </w:p>
    <w:p w14:paraId="792E3046" w14:textId="77777777" w:rsidR="00F7714A" w:rsidRPr="00F7714A" w:rsidRDefault="00F7714A" w:rsidP="00F7714A"/>
    <w:p w14:paraId="3BC992F6" w14:textId="222555B8" w:rsidR="00267762" w:rsidRDefault="00267762" w:rsidP="00267762">
      <w:r>
        <w:lastRenderedPageBreak/>
        <w:t xml:space="preserve">Ze względu </w:t>
      </w:r>
      <w:r>
        <w:t xml:space="preserve">na </w:t>
      </w:r>
      <w:r>
        <w:t xml:space="preserve">ochronę obiektu przed wyładowaniami atmosferycznymi przewiduje się wykonanie instalacji ochrony piorunochronnej. </w:t>
      </w:r>
    </w:p>
    <w:p w14:paraId="3F17C2DB" w14:textId="77777777" w:rsidR="00267762" w:rsidRDefault="00267762" w:rsidP="00267762">
      <w:r>
        <w:t>Elementami składowymi w zaprojektowanej instalacji piorunochronnej są:</w:t>
      </w:r>
    </w:p>
    <w:p w14:paraId="0D9B2B78" w14:textId="77777777" w:rsidR="00267762" w:rsidRDefault="00267762" w:rsidP="00267762">
      <w:r>
        <w:t>- zwody (elementy metalowe przyjmujące bezpośrednie uderzenie pioruna),</w:t>
      </w:r>
    </w:p>
    <w:p w14:paraId="14DF6141" w14:textId="77777777" w:rsidR="00267762" w:rsidRDefault="00267762" w:rsidP="00267762">
      <w:r>
        <w:t>- przewody odprowadzające (elementy metalowe łączące zwodu z uziomem),</w:t>
      </w:r>
    </w:p>
    <w:p w14:paraId="58A2B91A" w14:textId="77777777" w:rsidR="00267762" w:rsidRDefault="00267762" w:rsidP="00267762">
      <w:r>
        <w:t>- uziomy (elementy metalowe mające styczność z ziemią).</w:t>
      </w:r>
    </w:p>
    <w:p w14:paraId="30AE05DC" w14:textId="7E8C921C" w:rsidR="00267762" w:rsidRDefault="00267762" w:rsidP="00267762">
      <w:r>
        <w:t xml:space="preserve">Zwody niskie sztuczne wykonać za </w:t>
      </w:r>
      <w:r>
        <w:t xml:space="preserve">pomocą drutu ocynkowanego </w:t>
      </w:r>
      <w:proofErr w:type="spellStart"/>
      <w:r>
        <w:t>FeZn</w:t>
      </w:r>
      <w:proofErr w:type="spellEnd"/>
      <w:r>
        <w:t xml:space="preserve"> </w:t>
      </w:r>
      <w:r>
        <w:rPr>
          <w:rFonts w:ascii="Arial" w:hAnsi="Arial" w:cs="Arial"/>
        </w:rPr>
        <w:t>ɸ</w:t>
      </w:r>
      <w:r>
        <w:t>8mm używając wsporników oddalonych od siebie nie więcej niż 1m.</w:t>
      </w:r>
    </w:p>
    <w:p w14:paraId="1F23A7DC" w14:textId="77777777" w:rsidR="00267762" w:rsidRDefault="00267762" w:rsidP="00267762">
      <w:r>
        <w:t>Wszystkie elementy budowlane przewodzące, znajdujące się nad powierzchnią dachu należy wyposażyć w zwody i połączyć bezpośrednio lub pośrednio z przewodami odprowadzającymi. Wyjątkiem są elementy przewodzące łączące się z instalacjami wchodzącymi do budynku lub zasilane elektrycznie – te elementy należy zabezpieczyć przed bezpośrednim działaniem prądów piorunowych używając do tego celu zwodów poziomych podwyższonych, zwodów pionowych lub masztów. Elementy te muszą znajdować się w strefie chronionej.</w:t>
      </w:r>
    </w:p>
    <w:p w14:paraId="2781D9FE" w14:textId="04C1EA94" w:rsidR="00267762" w:rsidRDefault="00267762" w:rsidP="00267762">
      <w:r>
        <w:t xml:space="preserve">Przewody odprowadzające należy wykonać za pomocą płaskownika ocynkowanego </w:t>
      </w:r>
      <w:proofErr w:type="spellStart"/>
      <w:r>
        <w:t>FeZn</w:t>
      </w:r>
      <w:proofErr w:type="spellEnd"/>
      <w:r>
        <w:t xml:space="preserve"> 25x4mm umieszczając go w warstwie </w:t>
      </w:r>
      <w:r>
        <w:t xml:space="preserve">betonu (w słupach żelbetowych). </w:t>
      </w:r>
      <w:r>
        <w:t>Wszystkie przewody odprowadzające połączyć z uziomem fundamentowym przez spawanie lub uchwytami. Spoiny po oczyszczeniu należy zabezpieczyć farbą antykorozyjną lub lakierem asfaltowy</w:t>
      </w:r>
      <w:r>
        <w:t xml:space="preserve">m. </w:t>
      </w:r>
      <w:r>
        <w:t>Przewody odprowadzające wychodzące ponad dach należy połą</w:t>
      </w:r>
      <w:r>
        <w:t xml:space="preserve">czyć z siatką zwodów poziomych. </w:t>
      </w:r>
      <w:r>
        <w:t>Odstępy pomiędzy przewodami odprowadzającymi należy dostosować do konstrukcji budynku.</w:t>
      </w:r>
    </w:p>
    <w:p w14:paraId="3B949D3F" w14:textId="77777777" w:rsidR="00267762" w:rsidRDefault="00267762" w:rsidP="00267762">
      <w:r>
        <w:t xml:space="preserve">Uziom fundamentowy wykonać przy pomocy płaskownika ocynkowanego </w:t>
      </w:r>
      <w:proofErr w:type="spellStart"/>
      <w:r>
        <w:t>FeZn</w:t>
      </w:r>
      <w:proofErr w:type="spellEnd"/>
      <w:r>
        <w:t xml:space="preserve"> 30x4mm; oka kratownicy nie powinny przekraczać wymiarów 20x20m. Uziom fundamentowy układać na dolnej siatce zbrojenia płyty fundamentowej.</w:t>
      </w:r>
    </w:p>
    <w:p w14:paraId="094444BB" w14:textId="0D73BD48" w:rsidR="00550086" w:rsidRDefault="00550086" w:rsidP="00267762">
      <w:pPr>
        <w:pStyle w:val="Nagwek1"/>
        <w:numPr>
          <w:ilvl w:val="1"/>
          <w:numId w:val="3"/>
        </w:numPr>
      </w:pPr>
      <w:bookmarkStart w:id="16" w:name="_Toc131407879"/>
      <w:r w:rsidRPr="00550086">
        <w:t>Trasy kablowe</w:t>
      </w:r>
      <w:bookmarkEnd w:id="16"/>
    </w:p>
    <w:p w14:paraId="33BEF4CE" w14:textId="39AC4880" w:rsidR="001F359D" w:rsidRDefault="00F01BF4" w:rsidP="001F359D">
      <w:r>
        <w:t xml:space="preserve">Trasy kablowe wewnątrz lokalu należy wykonać za pomocą </w:t>
      </w:r>
      <w:r w:rsidR="00E20AC6">
        <w:t xml:space="preserve">systemowych </w:t>
      </w:r>
      <w:r>
        <w:t>koryt perforowanych.</w:t>
      </w:r>
      <w:r w:rsidR="001F359D">
        <w:t xml:space="preserve"> </w:t>
      </w:r>
      <w:r w:rsidR="00E20AC6">
        <w:rPr>
          <w:rFonts w:cs="Arial"/>
        </w:rPr>
        <w:t>Należy zabezpieczyć ostre krawędzie</w:t>
      </w:r>
      <w:r w:rsidR="00E20AC6">
        <w:t xml:space="preserve"> koryt kablowych. Koryta kablowe należy mocować za pomocą uchwytów systemowych dedykowanych do ich montażu. </w:t>
      </w:r>
      <w:r w:rsidR="00EA667D">
        <w:t xml:space="preserve">Okablowanie w korytach należy prowadzić w sposób uporządkowany. </w:t>
      </w:r>
      <w:r>
        <w:t>W miejscach, gdzie nie są prowadzone koryta kablowe okablowanie powinno</w:t>
      </w:r>
      <w:r w:rsidR="001F359D">
        <w:t xml:space="preserve"> znajdować się w rurach osłonowych. </w:t>
      </w:r>
      <w:r w:rsidR="00872290">
        <w:t xml:space="preserve">Orurowanie montować za pomocą uchwytów do ścian lub stropu. </w:t>
      </w:r>
      <w:r>
        <w:t>Do połączeń rozgałęźnych w przestrzeni sufitów podwieszanych należy wykorzystywać natynkowe puszki instalacyjne</w:t>
      </w:r>
      <w:r w:rsidR="001F359D">
        <w:t xml:space="preserve">. </w:t>
      </w:r>
      <w:r w:rsidR="00F9777C">
        <w:t xml:space="preserve">Wszystkie puszki rozgałęźne należy odpowiednio oznakować, tj. opisać obwody/grupy. </w:t>
      </w:r>
      <w:r w:rsidR="00872290">
        <w:t xml:space="preserve">W miarę możliwości puszki montować na korytach. </w:t>
      </w:r>
      <w:r w:rsidR="001F359D">
        <w:t xml:space="preserve">Wprowadzenie przewodów do osprzętu instalacyjnego wykonywać zawsze od tyłu. </w:t>
      </w:r>
    </w:p>
    <w:p w14:paraId="409ECF3B" w14:textId="026D06A9" w:rsidR="00550086" w:rsidRDefault="001F359D" w:rsidP="001F359D">
      <w:r>
        <w:lastRenderedPageBreak/>
        <w:t>Do wykonania zewnętrznych tras kablowych należy zastosować system koryt kablowych z pokrywą zabezpieczającą przed promieniowaniem UV. Poza korytami kablowymi należy stosować rury ochronn</w:t>
      </w:r>
      <w:r w:rsidR="00872290">
        <w:t>e odporne na promieniowanie UV.</w:t>
      </w:r>
      <w:r w:rsidR="00A175DE">
        <w:t xml:space="preserve"> </w:t>
      </w:r>
    </w:p>
    <w:p w14:paraId="1B0D6CCD" w14:textId="5E5AA7E8" w:rsidR="00550086" w:rsidRDefault="00550086" w:rsidP="00550086">
      <w:pPr>
        <w:pStyle w:val="Nagwek1"/>
        <w:numPr>
          <w:ilvl w:val="1"/>
          <w:numId w:val="3"/>
        </w:numPr>
      </w:pPr>
      <w:bookmarkStart w:id="17" w:name="_Toc131407880"/>
      <w:r w:rsidRPr="00550086">
        <w:t>Rozdzielnice elektryczne</w:t>
      </w:r>
      <w:bookmarkEnd w:id="17"/>
    </w:p>
    <w:p w14:paraId="56E85329" w14:textId="29CB2A9B" w:rsidR="00550086" w:rsidRDefault="00550086" w:rsidP="00550086"/>
    <w:p w14:paraId="311649C3" w14:textId="78E4E379" w:rsidR="001F359D" w:rsidRDefault="001F359D" w:rsidP="001F359D">
      <w:r>
        <w:t xml:space="preserve">Odbiorniki elektryczne zainstalowane na terenie lokalu zasilane będą  z głównej tablicy lokalu </w:t>
      </w:r>
      <w:r w:rsidR="00516F0A">
        <w:t>RL</w:t>
      </w:r>
      <w:r>
        <w:t xml:space="preserve">. Jej lokalizacja została wskazana na planie. W rozdzielnicy </w:t>
      </w:r>
      <w:r w:rsidR="00516F0A">
        <w:t>RL</w:t>
      </w:r>
      <w:r>
        <w:t xml:space="preserve"> zainstalowana będzie aparatura zabezpieczająca (o wytrzymałości zwarciowej min. 6 </w:t>
      </w:r>
      <w:proofErr w:type="spellStart"/>
      <w:r>
        <w:t>kA</w:t>
      </w:r>
      <w:proofErr w:type="spellEnd"/>
      <w:r>
        <w:t xml:space="preserve">), ograniczniki przepięć typ 1 + typ 2, aparatura łączeniowa, aparatura sterująca oraz aparatura pomiarowa </w:t>
      </w:r>
      <w:r w:rsidR="00872290">
        <w:t>. Przy wprowadzaniu przewodów do rozdzielnic należy stosować uszczelnienia w postaci dławików kablowych.</w:t>
      </w:r>
      <w:r w:rsidR="00DE2CEE">
        <w:t xml:space="preserve"> </w:t>
      </w:r>
      <w:r w:rsidR="00DE2CEE" w:rsidRPr="00DE2CEE">
        <w:t>Ochrona przeciwporażeniowa zapewniona jest przez szybkie samoczynne wyłączenie zasilania.</w:t>
      </w:r>
      <w:r w:rsidR="00E20AC6">
        <w:t xml:space="preserve"> Układ sieciowy w lokalu: TN-S.</w:t>
      </w:r>
    </w:p>
    <w:p w14:paraId="722E468F" w14:textId="2DC0BC02" w:rsidR="00550086" w:rsidRDefault="001F359D" w:rsidP="001F359D">
      <w:r>
        <w:t xml:space="preserve">Parametry rozdzielnicy </w:t>
      </w:r>
      <w:r w:rsidR="00516F0A">
        <w:t>RL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3"/>
        <w:gridCol w:w="4513"/>
      </w:tblGrid>
      <w:tr w:rsidR="001F359D" w:rsidRPr="001F359D" w14:paraId="5CBAC96A" w14:textId="77777777" w:rsidTr="00550110">
        <w:trPr>
          <w:trHeight w:val="109"/>
        </w:trPr>
        <w:tc>
          <w:tcPr>
            <w:tcW w:w="4513" w:type="dxa"/>
          </w:tcPr>
          <w:p w14:paraId="6D186A0B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Typ rozdzielnicy </w:t>
            </w:r>
          </w:p>
        </w:tc>
        <w:tc>
          <w:tcPr>
            <w:tcW w:w="4513" w:type="dxa"/>
          </w:tcPr>
          <w:p w14:paraId="5CA90F3F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>Stojąca z cokołem</w:t>
            </w:r>
          </w:p>
        </w:tc>
      </w:tr>
      <w:tr w:rsidR="001F359D" w:rsidRPr="001F359D" w14:paraId="24DB1FDE" w14:textId="77777777" w:rsidTr="00550110">
        <w:trPr>
          <w:trHeight w:val="109"/>
        </w:trPr>
        <w:tc>
          <w:tcPr>
            <w:tcW w:w="4513" w:type="dxa"/>
          </w:tcPr>
          <w:p w14:paraId="04CDC612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>Wprowadzenie zasilania</w:t>
            </w:r>
          </w:p>
        </w:tc>
        <w:tc>
          <w:tcPr>
            <w:tcW w:w="4513" w:type="dxa"/>
          </w:tcPr>
          <w:p w14:paraId="65345CDB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>Od góry</w:t>
            </w:r>
          </w:p>
        </w:tc>
      </w:tr>
      <w:tr w:rsidR="001F359D" w:rsidRPr="001F359D" w14:paraId="3E7DC781" w14:textId="77777777" w:rsidTr="00550110">
        <w:trPr>
          <w:trHeight w:val="109"/>
        </w:trPr>
        <w:tc>
          <w:tcPr>
            <w:tcW w:w="4513" w:type="dxa"/>
          </w:tcPr>
          <w:p w14:paraId="0562471E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>Wyprowadzenie odpływów</w:t>
            </w:r>
          </w:p>
        </w:tc>
        <w:tc>
          <w:tcPr>
            <w:tcW w:w="4513" w:type="dxa"/>
          </w:tcPr>
          <w:p w14:paraId="264EF79B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>Do góry</w:t>
            </w:r>
          </w:p>
        </w:tc>
      </w:tr>
      <w:tr w:rsidR="001F359D" w:rsidRPr="001F359D" w14:paraId="0C6202BD" w14:textId="77777777" w:rsidTr="00550110">
        <w:trPr>
          <w:trHeight w:val="109"/>
        </w:trPr>
        <w:tc>
          <w:tcPr>
            <w:tcW w:w="4513" w:type="dxa"/>
          </w:tcPr>
          <w:p w14:paraId="7A5B83AA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Kategoria przepięć </w:t>
            </w:r>
          </w:p>
        </w:tc>
        <w:tc>
          <w:tcPr>
            <w:tcW w:w="4513" w:type="dxa"/>
          </w:tcPr>
          <w:p w14:paraId="23D70EDD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 xml:space="preserve">III </w:t>
            </w:r>
          </w:p>
        </w:tc>
      </w:tr>
      <w:tr w:rsidR="001F359D" w:rsidRPr="001F359D" w14:paraId="5E30E367" w14:textId="77777777" w:rsidTr="00550110">
        <w:trPr>
          <w:trHeight w:val="109"/>
        </w:trPr>
        <w:tc>
          <w:tcPr>
            <w:tcW w:w="4513" w:type="dxa"/>
          </w:tcPr>
          <w:p w14:paraId="270FC6F5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Napięcie znamionowe udarowe wytrzymywane </w:t>
            </w:r>
            <w:proofErr w:type="spellStart"/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>Uimp</w:t>
            </w:r>
            <w:proofErr w:type="spellEnd"/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4513" w:type="dxa"/>
          </w:tcPr>
          <w:p w14:paraId="2350649F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 xml:space="preserve">6 </w:t>
            </w:r>
            <w:proofErr w:type="spellStart"/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>kV</w:t>
            </w:r>
            <w:proofErr w:type="spellEnd"/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 xml:space="preserve"> </w:t>
            </w:r>
          </w:p>
        </w:tc>
      </w:tr>
      <w:tr w:rsidR="001F359D" w:rsidRPr="001F359D" w14:paraId="4F2E51E4" w14:textId="77777777" w:rsidTr="00550110">
        <w:trPr>
          <w:trHeight w:val="110"/>
        </w:trPr>
        <w:tc>
          <w:tcPr>
            <w:tcW w:w="4513" w:type="dxa"/>
          </w:tcPr>
          <w:p w14:paraId="1490D6BD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Napięcie znamionowe izolacji </w:t>
            </w:r>
            <w:proofErr w:type="spellStart"/>
            <w:r w:rsidRPr="001F359D">
              <w:rPr>
                <w:rFonts w:eastAsia="Times New Roman" w:cs="Siemens Sans"/>
                <w:b/>
                <w:bCs/>
                <w:i/>
                <w:iCs/>
                <w:color w:val="000000"/>
                <w:szCs w:val="24"/>
                <w:lang w:eastAsia="pl-PL"/>
              </w:rPr>
              <w:t>Ui</w:t>
            </w:r>
            <w:proofErr w:type="spellEnd"/>
            <w:r w:rsidRPr="001F359D">
              <w:rPr>
                <w:rFonts w:eastAsia="Times New Roman" w:cs="Siemens Sans"/>
                <w:b/>
                <w:bCs/>
                <w:i/>
                <w:iCs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4513" w:type="dxa"/>
          </w:tcPr>
          <w:p w14:paraId="138ACEDB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 xml:space="preserve">690 V </w:t>
            </w:r>
          </w:p>
        </w:tc>
      </w:tr>
      <w:tr w:rsidR="001F359D" w:rsidRPr="001F359D" w14:paraId="7B40D209" w14:textId="77777777" w:rsidTr="00550110">
        <w:trPr>
          <w:trHeight w:val="109"/>
        </w:trPr>
        <w:tc>
          <w:tcPr>
            <w:tcW w:w="4513" w:type="dxa"/>
          </w:tcPr>
          <w:p w14:paraId="3F0889B8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Napięcie znamionowe (łączeniowe) </w:t>
            </w:r>
            <w:proofErr w:type="spellStart"/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>Ue</w:t>
            </w:r>
            <w:proofErr w:type="spellEnd"/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4513" w:type="dxa"/>
          </w:tcPr>
          <w:p w14:paraId="45983548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 xml:space="preserve">690 V AC/DC </w:t>
            </w:r>
          </w:p>
        </w:tc>
      </w:tr>
      <w:tr w:rsidR="001F359D" w:rsidRPr="001F359D" w14:paraId="611D8927" w14:textId="77777777" w:rsidTr="00550110">
        <w:trPr>
          <w:trHeight w:val="109"/>
        </w:trPr>
        <w:tc>
          <w:tcPr>
            <w:tcW w:w="4513" w:type="dxa"/>
          </w:tcPr>
          <w:p w14:paraId="00C69D08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Napięcie znamionowe </w:t>
            </w:r>
            <w:proofErr w:type="spellStart"/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>Un</w:t>
            </w:r>
            <w:proofErr w:type="spellEnd"/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4513" w:type="dxa"/>
          </w:tcPr>
          <w:p w14:paraId="5E82F5D3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 xml:space="preserve">690 V AC (40 do 60 </w:t>
            </w:r>
            <w:proofErr w:type="spellStart"/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>Hz</w:t>
            </w:r>
            <w:proofErr w:type="spellEnd"/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 xml:space="preserve">) dla zamontowanych aparatów </w:t>
            </w:r>
          </w:p>
        </w:tc>
      </w:tr>
      <w:tr w:rsidR="001F359D" w:rsidRPr="001F359D" w14:paraId="66E7CEB5" w14:textId="77777777" w:rsidTr="00550110">
        <w:trPr>
          <w:trHeight w:val="283"/>
        </w:trPr>
        <w:tc>
          <w:tcPr>
            <w:tcW w:w="4513" w:type="dxa"/>
          </w:tcPr>
          <w:p w14:paraId="452378E1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>Klasa ochronności</w:t>
            </w:r>
          </w:p>
        </w:tc>
        <w:tc>
          <w:tcPr>
            <w:tcW w:w="4513" w:type="dxa"/>
          </w:tcPr>
          <w:p w14:paraId="7CE13629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Arial"/>
                <w:color w:val="000000"/>
                <w:szCs w:val="24"/>
                <w:lang w:eastAsia="pl-PL"/>
              </w:rPr>
              <w:t xml:space="preserve">1 </w:t>
            </w: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 xml:space="preserve">(przewód ochronny) </w:t>
            </w:r>
          </w:p>
        </w:tc>
      </w:tr>
      <w:tr w:rsidR="001F359D" w:rsidRPr="001F359D" w14:paraId="3E7BF64D" w14:textId="77777777" w:rsidTr="00550110">
        <w:trPr>
          <w:trHeight w:val="201"/>
        </w:trPr>
        <w:tc>
          <w:tcPr>
            <w:tcW w:w="4513" w:type="dxa"/>
          </w:tcPr>
          <w:p w14:paraId="65F1F3DB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Stopień ochrony wg. DIN EN 60529 </w:t>
            </w:r>
          </w:p>
        </w:tc>
        <w:tc>
          <w:tcPr>
            <w:tcW w:w="4513" w:type="dxa"/>
          </w:tcPr>
          <w:p w14:paraId="0E250D4D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>min. IP30</w:t>
            </w:r>
          </w:p>
        </w:tc>
      </w:tr>
      <w:tr w:rsidR="001F359D" w:rsidRPr="001F359D" w14:paraId="65534370" w14:textId="77777777" w:rsidTr="00550110">
        <w:trPr>
          <w:trHeight w:val="109"/>
        </w:trPr>
        <w:tc>
          <w:tcPr>
            <w:tcW w:w="4513" w:type="dxa"/>
          </w:tcPr>
          <w:p w14:paraId="34A4ABB5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Stopień zanieczyszczenia </w:t>
            </w:r>
          </w:p>
        </w:tc>
        <w:tc>
          <w:tcPr>
            <w:tcW w:w="4513" w:type="dxa"/>
          </w:tcPr>
          <w:p w14:paraId="2C5C2063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 xml:space="preserve">3 </w:t>
            </w:r>
          </w:p>
        </w:tc>
      </w:tr>
      <w:tr w:rsidR="001F359D" w:rsidRPr="001F359D" w14:paraId="35C1092B" w14:textId="77777777" w:rsidTr="00550110">
        <w:trPr>
          <w:trHeight w:val="109"/>
        </w:trPr>
        <w:tc>
          <w:tcPr>
            <w:tcW w:w="4513" w:type="dxa"/>
          </w:tcPr>
          <w:p w14:paraId="464F18D9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Zgodność z normami </w:t>
            </w:r>
          </w:p>
        </w:tc>
        <w:tc>
          <w:tcPr>
            <w:tcW w:w="4513" w:type="dxa"/>
          </w:tcPr>
          <w:p w14:paraId="63790BA8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 xml:space="preserve">PN EN 60439-1/3 </w:t>
            </w:r>
          </w:p>
        </w:tc>
      </w:tr>
      <w:tr w:rsidR="001F359D" w:rsidRPr="001F359D" w14:paraId="0B7359E2" w14:textId="77777777" w:rsidTr="00550110">
        <w:trPr>
          <w:trHeight w:val="109"/>
        </w:trPr>
        <w:tc>
          <w:tcPr>
            <w:tcW w:w="4513" w:type="dxa"/>
          </w:tcPr>
          <w:p w14:paraId="498987FE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Obudowa </w:t>
            </w:r>
          </w:p>
        </w:tc>
        <w:tc>
          <w:tcPr>
            <w:tcW w:w="4513" w:type="dxa"/>
          </w:tcPr>
          <w:p w14:paraId="3C32FF27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 xml:space="preserve">blacha stalowa </w:t>
            </w:r>
          </w:p>
        </w:tc>
      </w:tr>
      <w:tr w:rsidR="001F359D" w:rsidRPr="001F359D" w14:paraId="28DDD1D2" w14:textId="77777777" w:rsidTr="00550110">
        <w:trPr>
          <w:trHeight w:val="109"/>
        </w:trPr>
        <w:tc>
          <w:tcPr>
            <w:tcW w:w="4513" w:type="dxa"/>
          </w:tcPr>
          <w:p w14:paraId="634BD6FE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Wykończenie obudowy </w:t>
            </w:r>
          </w:p>
        </w:tc>
        <w:tc>
          <w:tcPr>
            <w:tcW w:w="4513" w:type="dxa"/>
          </w:tcPr>
          <w:p w14:paraId="6F83A856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proofErr w:type="spellStart"/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>ocynk</w:t>
            </w:r>
            <w:proofErr w:type="spellEnd"/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 xml:space="preserve"> elektrolityczny i lakier proszkowy </w:t>
            </w:r>
          </w:p>
        </w:tc>
      </w:tr>
      <w:tr w:rsidR="001F359D" w:rsidRPr="001F359D" w14:paraId="6FBD295E" w14:textId="77777777" w:rsidTr="00550110">
        <w:trPr>
          <w:trHeight w:val="200"/>
        </w:trPr>
        <w:tc>
          <w:tcPr>
            <w:tcW w:w="4513" w:type="dxa"/>
          </w:tcPr>
          <w:p w14:paraId="60C73263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b/>
                <w:bCs/>
                <w:color w:val="000000"/>
                <w:szCs w:val="24"/>
                <w:lang w:eastAsia="pl-PL"/>
              </w:rPr>
              <w:t xml:space="preserve">Zamknięcie </w:t>
            </w:r>
          </w:p>
        </w:tc>
        <w:tc>
          <w:tcPr>
            <w:tcW w:w="4513" w:type="dxa"/>
          </w:tcPr>
          <w:p w14:paraId="54E4FCA5" w14:textId="77777777" w:rsidR="001F359D" w:rsidRPr="001F359D" w:rsidRDefault="001F359D" w:rsidP="001F359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 w:cs="Siemens Sans"/>
                <w:color w:val="000000"/>
                <w:szCs w:val="24"/>
                <w:lang w:eastAsia="pl-PL"/>
              </w:rPr>
            </w:pPr>
            <w:r w:rsidRPr="001F359D">
              <w:rPr>
                <w:rFonts w:eastAsia="Times New Roman" w:cs="Siemens Sans"/>
                <w:color w:val="000000"/>
                <w:szCs w:val="24"/>
                <w:lang w:eastAsia="pl-PL"/>
              </w:rPr>
              <w:t xml:space="preserve">3-punktowe ryglowanie z wbudowanym zamkiem na klucz </w:t>
            </w:r>
          </w:p>
        </w:tc>
      </w:tr>
    </w:tbl>
    <w:p w14:paraId="6B01B10F" w14:textId="3AF284C9" w:rsidR="001F359D" w:rsidRDefault="001F359D" w:rsidP="00550086"/>
    <w:p w14:paraId="33A48FAE" w14:textId="5C8620AB" w:rsidR="00DE2CEE" w:rsidRDefault="00DE2CEE" w:rsidP="00DE2CEE">
      <w:pPr>
        <w:pStyle w:val="Nagwek1"/>
        <w:numPr>
          <w:ilvl w:val="1"/>
          <w:numId w:val="3"/>
        </w:numPr>
      </w:pPr>
      <w:bookmarkStart w:id="18" w:name="_Toc131407881"/>
      <w:r>
        <w:t>Ochrona przeciwporażeniowa</w:t>
      </w:r>
      <w:bookmarkEnd w:id="18"/>
    </w:p>
    <w:p w14:paraId="20A01817" w14:textId="77777777" w:rsidR="00DE2CEE" w:rsidRDefault="00DE2CEE" w:rsidP="00DE2CEE">
      <w:pPr>
        <w:rPr>
          <w:rFonts w:cs="Arial"/>
        </w:rPr>
      </w:pPr>
    </w:p>
    <w:p w14:paraId="10A1E551" w14:textId="77777777" w:rsidR="00DE2CEE" w:rsidRDefault="00DE2CEE" w:rsidP="00DE2CEE">
      <w:pPr>
        <w:rPr>
          <w:rFonts w:cs="Arial"/>
        </w:rPr>
      </w:pPr>
      <w:r>
        <w:rPr>
          <w:rFonts w:cs="Arial"/>
        </w:rPr>
        <w:t>Ochrona podstawowa (przy dotyku bezpośrednim) zrealizowana będzie przez zastosowanie izolowania części czynnych. Ochrona przy uszkodzeniu (przy dotyku pośrednim) zrealizowana będzie poprzez zainstalowanie urządzeń samoczynnego wyłączenia w przypadku przekroczenia wartości napięcia dotykowego bezpiecznego w czasie do 0,2 s. Po kompletnym wykonaniu instalacji należy wykonać pomiary ochronne i sporządzić protokoły pomiarów ochrony przeciwporażeniowej.</w:t>
      </w:r>
    </w:p>
    <w:p w14:paraId="2DE71637" w14:textId="77777777" w:rsidR="00DE2CEE" w:rsidRDefault="00DE2CEE" w:rsidP="00DE2CEE">
      <w:pPr>
        <w:rPr>
          <w:rFonts w:cs="Arial"/>
        </w:rPr>
      </w:pPr>
      <w:r>
        <w:rPr>
          <w:rFonts w:cs="Arial"/>
        </w:rPr>
        <w:lastRenderedPageBreak/>
        <w:t>Dla skutecznej ochrony przed porażeniem zastosowano wyłączniki nadmiarowo-prądowe. Jako środek ochrony dodatkowej instalacje będą chronione wyłącznikami różnicowoprądowymi, o prądzie zadziałania nie większym niż 30mA. Skuteczność ochrony przed porażeniem należy sprawdzić przez pomiary po wykonaniu instalacji.</w:t>
      </w:r>
    </w:p>
    <w:p w14:paraId="4E160168" w14:textId="6868ECEF" w:rsidR="00395DEE" w:rsidRPr="00162442" w:rsidRDefault="00162442" w:rsidP="00162442">
      <w:pPr>
        <w:pStyle w:val="Nagwek1"/>
        <w:numPr>
          <w:ilvl w:val="1"/>
          <w:numId w:val="3"/>
        </w:numPr>
      </w:pPr>
      <w:bookmarkStart w:id="19" w:name="_Toc131407882"/>
      <w:r w:rsidRPr="00162442">
        <w:t>Teren zewnętrzny</w:t>
      </w:r>
      <w:bookmarkEnd w:id="19"/>
    </w:p>
    <w:p w14:paraId="10D8C5A5" w14:textId="77777777" w:rsidR="00162442" w:rsidRDefault="00162442" w:rsidP="00395DEE">
      <w:pPr>
        <w:rPr>
          <w:rFonts w:cs="Arial"/>
        </w:rPr>
      </w:pPr>
    </w:p>
    <w:p w14:paraId="026BBB86" w14:textId="2620A034" w:rsidR="00395DEE" w:rsidRPr="00395DEE" w:rsidRDefault="00395DEE" w:rsidP="00395DEE">
      <w:pPr>
        <w:rPr>
          <w:rFonts w:cs="Arial"/>
        </w:rPr>
      </w:pPr>
      <w:r>
        <w:rPr>
          <w:rFonts w:cs="Arial"/>
        </w:rPr>
        <w:t>Dla terenu zewnętrznego przewiduje się następujące odbiory</w:t>
      </w:r>
      <w:r w:rsidRPr="00395DEE">
        <w:rPr>
          <w:rFonts w:cs="Arial"/>
        </w:rPr>
        <w:t>:</w:t>
      </w:r>
    </w:p>
    <w:p w14:paraId="7A05BB59" w14:textId="63711D23" w:rsidR="00395DEE" w:rsidRPr="00395DEE" w:rsidRDefault="00395DEE" w:rsidP="00395DEE">
      <w:pPr>
        <w:pStyle w:val="Akapitzlist"/>
        <w:numPr>
          <w:ilvl w:val="0"/>
          <w:numId w:val="11"/>
        </w:numPr>
        <w:rPr>
          <w:rFonts w:cs="Arial"/>
        </w:rPr>
      </w:pPr>
      <w:r>
        <w:rPr>
          <w:rFonts w:cs="Arial"/>
        </w:rPr>
        <w:t>oświetlenie</w:t>
      </w:r>
      <w:r w:rsidRPr="00395DEE">
        <w:rPr>
          <w:rFonts w:cs="Arial"/>
        </w:rPr>
        <w:t xml:space="preserve"> terenu,</w:t>
      </w:r>
    </w:p>
    <w:p w14:paraId="48F143F7" w14:textId="17085033" w:rsidR="00395DEE" w:rsidRPr="00395DEE" w:rsidRDefault="00395DEE" w:rsidP="00395DEE">
      <w:pPr>
        <w:pStyle w:val="Akapitzlist"/>
        <w:numPr>
          <w:ilvl w:val="0"/>
          <w:numId w:val="11"/>
        </w:numPr>
        <w:rPr>
          <w:rFonts w:cs="Arial"/>
        </w:rPr>
      </w:pPr>
      <w:r>
        <w:rPr>
          <w:rFonts w:cs="Arial"/>
        </w:rPr>
        <w:t>zasilanie</w:t>
      </w:r>
      <w:r w:rsidRPr="00395DEE">
        <w:rPr>
          <w:rFonts w:cs="Arial"/>
        </w:rPr>
        <w:t xml:space="preserve"> urządzeń </w:t>
      </w:r>
      <w:r>
        <w:rPr>
          <w:rFonts w:cs="Arial"/>
        </w:rPr>
        <w:t>związanych z pracą restauracji</w:t>
      </w:r>
      <w:r w:rsidRPr="00395DEE">
        <w:rPr>
          <w:rFonts w:cs="Arial"/>
        </w:rPr>
        <w:t>, tj.: oznakowania kierunkowego, tablic informacyjnych, pylonu oraz wiaty śmietnikowej</w:t>
      </w:r>
    </w:p>
    <w:p w14:paraId="64967157" w14:textId="71CB7228" w:rsidR="00395DEE" w:rsidRDefault="00162442" w:rsidP="00162442">
      <w:pPr>
        <w:ind w:left="360" w:firstLine="0"/>
        <w:rPr>
          <w:rFonts w:cs="Arial"/>
        </w:rPr>
      </w:pPr>
      <w:r>
        <w:rPr>
          <w:rFonts w:cs="Arial"/>
        </w:rPr>
        <w:t xml:space="preserve">Należy ułożyć kabel sterowniczy dla </w:t>
      </w:r>
      <w:r w:rsidR="00395DEE" w:rsidRPr="00162442">
        <w:rPr>
          <w:rFonts w:cs="Arial"/>
        </w:rPr>
        <w:t>systemu zapełn</w:t>
      </w:r>
      <w:r>
        <w:rPr>
          <w:rFonts w:cs="Arial"/>
        </w:rPr>
        <w:t>ienia separatora tłuszczu (</w:t>
      </w:r>
      <w:r w:rsidR="00395DEE" w:rsidRPr="00162442">
        <w:rPr>
          <w:rFonts w:cs="Arial"/>
        </w:rPr>
        <w:t xml:space="preserve">sterownik </w:t>
      </w:r>
      <w:r>
        <w:rPr>
          <w:rFonts w:cs="Arial"/>
        </w:rPr>
        <w:t>za</w:t>
      </w:r>
      <w:r w:rsidR="00395DEE" w:rsidRPr="00162442">
        <w:rPr>
          <w:rFonts w:cs="Arial"/>
        </w:rPr>
        <w:t>instalowany w pomieszczeniu m</w:t>
      </w:r>
      <w:r w:rsidRPr="00162442">
        <w:rPr>
          <w:rFonts w:cs="Arial"/>
        </w:rPr>
        <w:t>a</w:t>
      </w:r>
      <w:r w:rsidR="00395DEE" w:rsidRPr="00162442">
        <w:rPr>
          <w:rFonts w:cs="Arial"/>
        </w:rPr>
        <w:t>nagera</w:t>
      </w:r>
      <w:r>
        <w:rPr>
          <w:rFonts w:cs="Arial"/>
        </w:rPr>
        <w:t>)</w:t>
      </w:r>
      <w:r w:rsidR="00395DEE" w:rsidRPr="00162442">
        <w:rPr>
          <w:rFonts w:cs="Arial"/>
        </w:rPr>
        <w:t xml:space="preserve"> – typ kabla sterowniczego do sondy w studn</w:t>
      </w:r>
      <w:r>
        <w:rPr>
          <w:rFonts w:cs="Arial"/>
        </w:rPr>
        <w:t>i należy wykonać zgodnie z DTR urządzenia.</w:t>
      </w:r>
    </w:p>
    <w:p w14:paraId="24E75494" w14:textId="6BA43EE3" w:rsidR="00162442" w:rsidRPr="00162442" w:rsidRDefault="00162442" w:rsidP="00162442">
      <w:pPr>
        <w:ind w:left="360" w:firstLine="0"/>
        <w:rPr>
          <w:rFonts w:cs="Arial"/>
        </w:rPr>
      </w:pPr>
      <w:r>
        <w:rPr>
          <w:rFonts w:cs="Arial"/>
        </w:rPr>
        <w:t xml:space="preserve">Dla potrzeb nawadniania należy ułożyć kabel sterowniczy </w:t>
      </w:r>
      <w:r w:rsidRPr="00395DEE">
        <w:rPr>
          <w:rFonts w:cs="Arial"/>
        </w:rPr>
        <w:t>YKXS 10x1,0mm2</w:t>
      </w:r>
      <w:r>
        <w:rPr>
          <w:rFonts w:cs="Arial"/>
        </w:rPr>
        <w:t xml:space="preserve"> pomiędzy sterownikiem, a studnią.</w:t>
      </w:r>
    </w:p>
    <w:p w14:paraId="7A87063F" w14:textId="1DF41543" w:rsidR="00395DEE" w:rsidRPr="00395DEE" w:rsidRDefault="00162442" w:rsidP="00395DEE">
      <w:pPr>
        <w:rPr>
          <w:rFonts w:cs="Arial"/>
        </w:rPr>
      </w:pPr>
      <w:r w:rsidRPr="00162442">
        <w:rPr>
          <w:rFonts w:cs="Arial"/>
        </w:rPr>
        <w:t xml:space="preserve">Kable należy układać w wykopie linia falistą na głębokości 0,7 m licząc do górnej krawędzi kabla, na 10 cm podsypce piaskowej. Na ułożony kabel w rurze należy nasypać 10 cm warstwę piasku i 20 cm warstwę gruntu rodzimego </w:t>
      </w:r>
      <w:r>
        <w:rPr>
          <w:rFonts w:cs="Arial"/>
        </w:rPr>
        <w:t>wolnego od gruzu i kamieni</w:t>
      </w:r>
      <w:r w:rsidR="00395DEE" w:rsidRPr="00395DEE">
        <w:rPr>
          <w:rFonts w:cs="Arial"/>
        </w:rPr>
        <w:t xml:space="preserve">. Kable </w:t>
      </w:r>
      <w:r>
        <w:rPr>
          <w:rFonts w:cs="Arial"/>
        </w:rPr>
        <w:t xml:space="preserve">w miejscach ruchu pojazdów </w:t>
      </w:r>
      <w:r w:rsidR="00395DEE" w:rsidRPr="00395DEE">
        <w:rPr>
          <w:rFonts w:cs="Arial"/>
        </w:rPr>
        <w:t xml:space="preserve"> </w:t>
      </w:r>
      <w:r>
        <w:rPr>
          <w:rFonts w:cs="Arial"/>
        </w:rPr>
        <w:t xml:space="preserve">należy układać w rurach osłonowych </w:t>
      </w:r>
      <w:r w:rsidR="00395DEE" w:rsidRPr="00395DEE">
        <w:rPr>
          <w:rFonts w:cs="Arial"/>
        </w:rPr>
        <w:t xml:space="preserve">typu </w:t>
      </w:r>
      <w:r>
        <w:rPr>
          <w:rFonts w:cs="Arial"/>
        </w:rPr>
        <w:t>QRG (SRS)</w:t>
      </w:r>
      <w:r w:rsidR="00395DEE" w:rsidRPr="00395DEE">
        <w:rPr>
          <w:rFonts w:cs="Arial"/>
        </w:rPr>
        <w:t xml:space="preserve">. Wszystkie kable w terenie należy prowadzić w rurach osłonowych </w:t>
      </w:r>
      <w:r>
        <w:rPr>
          <w:rFonts w:cs="Arial"/>
        </w:rPr>
        <w:t>QRK (</w:t>
      </w:r>
      <w:r w:rsidR="00395DEE" w:rsidRPr="00395DEE">
        <w:rPr>
          <w:rFonts w:cs="Arial"/>
        </w:rPr>
        <w:t>DVK</w:t>
      </w:r>
      <w:r>
        <w:rPr>
          <w:rFonts w:cs="Arial"/>
        </w:rPr>
        <w:t>)</w:t>
      </w:r>
      <w:r w:rsidR="00395DEE" w:rsidRPr="00395DEE">
        <w:rPr>
          <w:rFonts w:cs="Arial"/>
        </w:rPr>
        <w:t xml:space="preserve">. </w:t>
      </w:r>
    </w:p>
    <w:p w14:paraId="4B28CFCA" w14:textId="77777777" w:rsidR="00DE2CEE" w:rsidRDefault="00DE2CEE" w:rsidP="00550086"/>
    <w:p w14:paraId="45D1B7E4" w14:textId="7455DC60" w:rsidR="00550086" w:rsidRDefault="00550086" w:rsidP="00550086">
      <w:pPr>
        <w:pStyle w:val="Nagwek1"/>
        <w:numPr>
          <w:ilvl w:val="1"/>
          <w:numId w:val="3"/>
        </w:numPr>
      </w:pPr>
      <w:bookmarkStart w:id="20" w:name="_Toc131407883"/>
      <w:r w:rsidRPr="00550086">
        <w:t>Monitoring zużycia energii elektrycznej</w:t>
      </w:r>
      <w:bookmarkEnd w:id="20"/>
    </w:p>
    <w:p w14:paraId="71D32060" w14:textId="78424FFB" w:rsidR="001F359D" w:rsidRDefault="00516F0A" w:rsidP="001F359D">
      <w:r>
        <w:t>W celu</w:t>
      </w:r>
      <w:r w:rsidR="001F359D">
        <w:t xml:space="preserve"> monitorowania zużycia energii elektrycznej w projektowanym </w:t>
      </w:r>
      <w:r>
        <w:t>lokalu</w:t>
      </w:r>
      <w:r w:rsidR="001F359D">
        <w:t xml:space="preserve"> należy zastosować 3-fazowe liczniki energii z interfejsem RS485 oraz komunikacją po protokole komunikacyjnym </w:t>
      </w:r>
      <w:proofErr w:type="spellStart"/>
      <w:r w:rsidR="001F359D">
        <w:t>Modbus</w:t>
      </w:r>
      <w:proofErr w:type="spellEnd"/>
      <w:r w:rsidR="001F359D">
        <w:t xml:space="preserve"> RTU. Przewiduje się zarówno monitorowanie zużycia energii na zasilaniu głównym rozdzielnicy </w:t>
      </w:r>
      <w:r>
        <w:t>RL</w:t>
      </w:r>
      <w:r w:rsidR="001F359D">
        <w:t xml:space="preserve"> jak również dla wymienionych poniżej grup odbiorów:</w:t>
      </w:r>
    </w:p>
    <w:p w14:paraId="4B8DEDF2" w14:textId="49EC4BEB" w:rsidR="001F359D" w:rsidRDefault="001F359D" w:rsidP="001F359D">
      <w:pPr>
        <w:pStyle w:val="Akapitzlist"/>
        <w:numPr>
          <w:ilvl w:val="0"/>
          <w:numId w:val="7"/>
        </w:numPr>
      </w:pPr>
      <w:r>
        <w:t>technologii kuchni, chłodu i podgrzewu</w:t>
      </w:r>
    </w:p>
    <w:p w14:paraId="1EEE4C7C" w14:textId="5DB7A329" w:rsidR="001F359D" w:rsidRDefault="001F359D" w:rsidP="001F359D">
      <w:pPr>
        <w:pStyle w:val="Akapitzlist"/>
        <w:numPr>
          <w:ilvl w:val="0"/>
          <w:numId w:val="7"/>
        </w:numPr>
      </w:pPr>
      <w:r>
        <w:t>instalacji HVAC,</w:t>
      </w:r>
    </w:p>
    <w:p w14:paraId="36F8F648" w14:textId="5CFAEEC6" w:rsidR="001F359D" w:rsidRDefault="001F359D" w:rsidP="001F359D">
      <w:pPr>
        <w:pStyle w:val="Akapitzlist"/>
        <w:numPr>
          <w:ilvl w:val="0"/>
          <w:numId w:val="7"/>
        </w:numPr>
      </w:pPr>
      <w:r>
        <w:t>odbiorów ogólnych</w:t>
      </w:r>
    </w:p>
    <w:p w14:paraId="080CFBB4" w14:textId="08BBA1FC" w:rsidR="001F359D" w:rsidRDefault="001F359D" w:rsidP="001F359D">
      <w:pPr>
        <w:pStyle w:val="Akapitzlist"/>
        <w:numPr>
          <w:ilvl w:val="0"/>
          <w:numId w:val="7"/>
        </w:numPr>
      </w:pPr>
      <w:r>
        <w:t>oświetlenia</w:t>
      </w:r>
    </w:p>
    <w:p w14:paraId="7520F02B" w14:textId="42E0DB2D" w:rsidR="001F359D" w:rsidRDefault="001F359D" w:rsidP="001F359D">
      <w:r>
        <w:t xml:space="preserve">Dla grup odbioru o prądzie szczytowym poniżej 80A zaleca się zastosowanie liczników z pomiarem bezpośrednim. W przypadku grup odbiorów o prądzie powyżej 80A należy zastosować liczniki energii elektrycznej z pomiarem półpośrednim. Prąd pierwotny przekładników prądowych użytych do realizacji monitorowania zużycia energii </w:t>
      </w:r>
      <w:r w:rsidR="00011392">
        <w:t>został dobrany do</w:t>
      </w:r>
      <w:r>
        <w:t xml:space="preserve"> prądu szczytowego w danej grupie odbiorów. Inne parametry, które powinny zostać spełnione przez zastosowane przekładniki prądowe to:</w:t>
      </w:r>
    </w:p>
    <w:p w14:paraId="0BAAA247" w14:textId="79E96CE0" w:rsidR="001F359D" w:rsidRDefault="001F359D" w:rsidP="001F359D">
      <w:pPr>
        <w:pStyle w:val="Akapitzlist"/>
        <w:numPr>
          <w:ilvl w:val="0"/>
          <w:numId w:val="7"/>
        </w:numPr>
      </w:pPr>
      <w:r>
        <w:t>znamionowy prąd po stronie wtórnej – 5A</w:t>
      </w:r>
    </w:p>
    <w:p w14:paraId="2C202CA0" w14:textId="0CEDFFCD" w:rsidR="001F359D" w:rsidRDefault="001F359D" w:rsidP="001F359D">
      <w:pPr>
        <w:pStyle w:val="Akapitzlist"/>
        <w:numPr>
          <w:ilvl w:val="0"/>
          <w:numId w:val="7"/>
        </w:numPr>
      </w:pPr>
      <w:r>
        <w:lastRenderedPageBreak/>
        <w:t>klasa dokładności pomiaru prądu – kl. 0,5.</w:t>
      </w:r>
    </w:p>
    <w:p w14:paraId="5E72A49F" w14:textId="695CBDC1" w:rsidR="00550086" w:rsidRDefault="001F359D" w:rsidP="001F359D">
      <w:r>
        <w:t>Liczniki energii realizujące funkcję monitorowania zużycia energii powinny posiadać możliwość zmiany długości okresu uśrednionej wartości mocy, prądów, napięć i częstotliwości w zakresie 1-60 minut.</w:t>
      </w:r>
    </w:p>
    <w:p w14:paraId="1645656B" w14:textId="77777777" w:rsidR="00E35185" w:rsidRDefault="00E35185" w:rsidP="00550086"/>
    <w:p w14:paraId="5E86430A" w14:textId="3E7F9FA3" w:rsidR="00550086" w:rsidRDefault="00550086" w:rsidP="00550086">
      <w:pPr>
        <w:pStyle w:val="Nagwek1"/>
        <w:numPr>
          <w:ilvl w:val="1"/>
          <w:numId w:val="3"/>
        </w:numPr>
      </w:pPr>
      <w:bookmarkStart w:id="21" w:name="_Toc131407884"/>
      <w:r w:rsidRPr="00550086">
        <w:t>Bilans mocy</w:t>
      </w:r>
      <w:bookmarkEnd w:id="21"/>
    </w:p>
    <w:p w14:paraId="6C4501EC" w14:textId="77777777" w:rsidR="00E35185" w:rsidRDefault="00E35185" w:rsidP="001F359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79"/>
        <w:gridCol w:w="3267"/>
      </w:tblGrid>
      <w:tr w:rsidR="00011392" w:rsidRPr="00011392" w14:paraId="06AD5400" w14:textId="2860FF15" w:rsidTr="00011392">
        <w:trPr>
          <w:trHeight w:val="255"/>
        </w:trPr>
        <w:tc>
          <w:tcPr>
            <w:tcW w:w="3979" w:type="dxa"/>
          </w:tcPr>
          <w:p w14:paraId="25DC120D" w14:textId="0BB71D9E" w:rsidR="00011392" w:rsidRPr="00011392" w:rsidRDefault="00011392" w:rsidP="00011392">
            <w:pPr>
              <w:ind w:firstLine="0"/>
              <w:rPr>
                <w:rFonts w:cs="Arial"/>
              </w:rPr>
            </w:pPr>
            <w:r w:rsidRPr="00011392">
              <w:rPr>
                <w:rFonts w:cs="Arial"/>
              </w:rPr>
              <w:t xml:space="preserve">Moc zainstalowana dla lokalu: </w:t>
            </w:r>
            <w:r w:rsidRPr="00011392">
              <w:rPr>
                <w:rFonts w:cs="Arial"/>
              </w:rPr>
              <w:tab/>
            </w:r>
          </w:p>
        </w:tc>
        <w:tc>
          <w:tcPr>
            <w:tcW w:w="3267" w:type="dxa"/>
          </w:tcPr>
          <w:p w14:paraId="2C268A91" w14:textId="760CD5A1" w:rsidR="00011392" w:rsidRPr="00011392" w:rsidRDefault="00267762" w:rsidP="0049132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316,0</w:t>
            </w:r>
            <w:r w:rsidR="00011392" w:rsidRPr="00011392">
              <w:rPr>
                <w:rFonts w:cs="Arial"/>
              </w:rPr>
              <w:t xml:space="preserve"> kW</w:t>
            </w:r>
          </w:p>
        </w:tc>
      </w:tr>
      <w:tr w:rsidR="00011392" w:rsidRPr="00011392" w14:paraId="315AE126" w14:textId="5D9EB085" w:rsidTr="00011392">
        <w:trPr>
          <w:trHeight w:val="255"/>
        </w:trPr>
        <w:tc>
          <w:tcPr>
            <w:tcW w:w="3979" w:type="dxa"/>
          </w:tcPr>
          <w:p w14:paraId="427C306F" w14:textId="107995E6" w:rsidR="00011392" w:rsidRPr="00011392" w:rsidRDefault="00011392" w:rsidP="00011392">
            <w:pPr>
              <w:ind w:firstLine="0"/>
              <w:rPr>
                <w:rFonts w:cs="Arial"/>
              </w:rPr>
            </w:pPr>
            <w:r w:rsidRPr="00011392">
              <w:rPr>
                <w:rFonts w:cs="Arial"/>
              </w:rPr>
              <w:t xml:space="preserve">Współczynnik jednoczesności: </w:t>
            </w:r>
          </w:p>
        </w:tc>
        <w:tc>
          <w:tcPr>
            <w:tcW w:w="3267" w:type="dxa"/>
          </w:tcPr>
          <w:p w14:paraId="2BE6C1F9" w14:textId="0D6AC40E" w:rsidR="00011392" w:rsidRPr="00011392" w:rsidRDefault="00267762" w:rsidP="0049132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0,57</w:t>
            </w:r>
          </w:p>
        </w:tc>
      </w:tr>
      <w:tr w:rsidR="00011392" w:rsidRPr="00011392" w14:paraId="697A2DEC" w14:textId="4EAC3743" w:rsidTr="00011392">
        <w:trPr>
          <w:trHeight w:val="255"/>
        </w:trPr>
        <w:tc>
          <w:tcPr>
            <w:tcW w:w="3979" w:type="dxa"/>
          </w:tcPr>
          <w:p w14:paraId="067C4BF2" w14:textId="78243565" w:rsidR="00011392" w:rsidRPr="00011392" w:rsidRDefault="00011392" w:rsidP="00011392">
            <w:pPr>
              <w:ind w:firstLine="0"/>
              <w:rPr>
                <w:rFonts w:cs="Arial"/>
              </w:rPr>
            </w:pPr>
            <w:r w:rsidRPr="00011392">
              <w:rPr>
                <w:rFonts w:cs="Arial"/>
              </w:rPr>
              <w:t>Moc szczytowa dla lokalu:</w:t>
            </w:r>
            <w:r w:rsidRPr="00011392">
              <w:rPr>
                <w:rFonts w:cs="Arial"/>
              </w:rPr>
              <w:tab/>
            </w:r>
          </w:p>
        </w:tc>
        <w:tc>
          <w:tcPr>
            <w:tcW w:w="3267" w:type="dxa"/>
          </w:tcPr>
          <w:p w14:paraId="3FD0DBF5" w14:textId="37331E6E" w:rsidR="00011392" w:rsidRPr="00011392" w:rsidRDefault="00011392" w:rsidP="00267762">
            <w:pPr>
              <w:ind w:firstLine="0"/>
              <w:rPr>
                <w:rFonts w:cs="Arial"/>
              </w:rPr>
            </w:pPr>
            <w:r w:rsidRPr="00011392">
              <w:rPr>
                <w:rFonts w:cs="Arial"/>
              </w:rPr>
              <w:t>1</w:t>
            </w:r>
            <w:r w:rsidR="00267762">
              <w:rPr>
                <w:rFonts w:cs="Arial"/>
              </w:rPr>
              <w:t>80</w:t>
            </w:r>
            <w:r w:rsidRPr="00011392">
              <w:rPr>
                <w:rFonts w:cs="Arial"/>
              </w:rPr>
              <w:t xml:space="preserve"> kW</w:t>
            </w:r>
          </w:p>
        </w:tc>
      </w:tr>
      <w:tr w:rsidR="00011392" w:rsidRPr="00011392" w14:paraId="3C7857BF" w14:textId="4A931EF2" w:rsidTr="00011392">
        <w:trPr>
          <w:trHeight w:val="255"/>
        </w:trPr>
        <w:tc>
          <w:tcPr>
            <w:tcW w:w="3979" w:type="dxa"/>
          </w:tcPr>
          <w:p w14:paraId="0F409A9E" w14:textId="3F28A494" w:rsidR="00011392" w:rsidRPr="00011392" w:rsidRDefault="00011392" w:rsidP="00011392">
            <w:pPr>
              <w:ind w:firstLine="0"/>
              <w:rPr>
                <w:rFonts w:cs="Arial"/>
              </w:rPr>
            </w:pPr>
            <w:r w:rsidRPr="00011392">
              <w:rPr>
                <w:rFonts w:cs="Arial"/>
              </w:rPr>
              <w:t xml:space="preserve">Prąd szczytowy: </w:t>
            </w:r>
            <w:r w:rsidRPr="00011392">
              <w:rPr>
                <w:rFonts w:cs="Arial"/>
              </w:rPr>
              <w:tab/>
            </w:r>
          </w:p>
        </w:tc>
        <w:tc>
          <w:tcPr>
            <w:tcW w:w="3267" w:type="dxa"/>
          </w:tcPr>
          <w:p w14:paraId="0916F4B2" w14:textId="2CBFB386" w:rsidR="00011392" w:rsidRPr="00011392" w:rsidRDefault="00267762" w:rsidP="0049132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279,2</w:t>
            </w:r>
            <w:r w:rsidR="00011392" w:rsidRPr="00011392">
              <w:rPr>
                <w:rFonts w:cs="Arial"/>
              </w:rPr>
              <w:t xml:space="preserve"> A</w:t>
            </w:r>
          </w:p>
        </w:tc>
      </w:tr>
    </w:tbl>
    <w:p w14:paraId="446BFA47" w14:textId="77777777" w:rsidR="00550086" w:rsidRPr="00550086" w:rsidRDefault="00550086" w:rsidP="00550086"/>
    <w:p w14:paraId="0D1DE67D" w14:textId="15FA3000" w:rsidR="00550086" w:rsidRDefault="00550086" w:rsidP="00550086">
      <w:pPr>
        <w:pStyle w:val="Nagwek1"/>
        <w:numPr>
          <w:ilvl w:val="1"/>
          <w:numId w:val="3"/>
        </w:numPr>
      </w:pPr>
      <w:bookmarkStart w:id="22" w:name="_Toc131407885"/>
      <w:r w:rsidRPr="00550086">
        <w:t>Uwagi końcowe</w:t>
      </w:r>
      <w:bookmarkEnd w:id="22"/>
    </w:p>
    <w:p w14:paraId="6607D1D0" w14:textId="550904FC" w:rsidR="00550086" w:rsidRDefault="00550086" w:rsidP="00550086"/>
    <w:p w14:paraId="05F1D310" w14:textId="79B96ABF" w:rsidR="00A85F5B" w:rsidRDefault="00A85F5B" w:rsidP="002B1465">
      <w:pPr>
        <w:pStyle w:val="Akapitzlist"/>
        <w:numPr>
          <w:ilvl w:val="0"/>
          <w:numId w:val="9"/>
        </w:numPr>
        <w:ind w:left="1134"/>
      </w:pPr>
      <w:r>
        <w:t>Po stronie wykonawcy instalacji elektrycznej jest wykonanie:</w:t>
      </w:r>
    </w:p>
    <w:p w14:paraId="700F8065" w14:textId="5C477C26" w:rsidR="00A85F5B" w:rsidRDefault="00A85F5B" w:rsidP="00A85F5B">
      <w:pPr>
        <w:pStyle w:val="Akapitzlist"/>
        <w:numPr>
          <w:ilvl w:val="1"/>
          <w:numId w:val="9"/>
        </w:numPr>
      </w:pPr>
      <w:r>
        <w:t xml:space="preserve">Zasilania rozdzielnicy TCH z rozdzielnicy </w:t>
      </w:r>
      <w:r w:rsidR="00516F0A">
        <w:t>RL</w:t>
      </w:r>
    </w:p>
    <w:p w14:paraId="2E2EB508" w14:textId="4F6FD8E8" w:rsidR="00A85F5B" w:rsidRDefault="00A85F5B" w:rsidP="00A85F5B">
      <w:pPr>
        <w:pStyle w:val="Akapitzlist"/>
        <w:numPr>
          <w:ilvl w:val="1"/>
          <w:numId w:val="9"/>
        </w:numPr>
      </w:pPr>
      <w:r>
        <w:t xml:space="preserve">Zasilania rozdzielnicy TMR z rozdzielnicy </w:t>
      </w:r>
      <w:r w:rsidR="00516F0A">
        <w:t>RL</w:t>
      </w:r>
    </w:p>
    <w:p w14:paraId="10E10E2E" w14:textId="5CF7424C" w:rsidR="00F56E3F" w:rsidRDefault="00F56E3F" w:rsidP="00A85F5B">
      <w:pPr>
        <w:pStyle w:val="Akapitzlist"/>
        <w:numPr>
          <w:ilvl w:val="1"/>
          <w:numId w:val="9"/>
        </w:numPr>
      </w:pPr>
      <w:r>
        <w:t>Zasilania urządzeń wentylacji i klimatyzacji pomiędzy rozdzielnicą RL, szafami sterowniczymi i urządzeniami</w:t>
      </w:r>
    </w:p>
    <w:p w14:paraId="4DA7EB16" w14:textId="1E068FE4" w:rsidR="00A85F5B" w:rsidRDefault="00A85F5B" w:rsidP="00A85F5B">
      <w:pPr>
        <w:pStyle w:val="Akapitzlist"/>
        <w:numPr>
          <w:ilvl w:val="0"/>
          <w:numId w:val="9"/>
        </w:numPr>
        <w:ind w:left="1134"/>
      </w:pPr>
      <w:r>
        <w:t>Po stronie wykonawcy instalacji HVAC jest wykonanie:</w:t>
      </w:r>
    </w:p>
    <w:p w14:paraId="4D8D21E6" w14:textId="14B73654" w:rsidR="00550086" w:rsidRDefault="00A85F5B" w:rsidP="00F56E3F">
      <w:pPr>
        <w:pStyle w:val="Akapitzlist"/>
        <w:numPr>
          <w:ilvl w:val="1"/>
          <w:numId w:val="9"/>
        </w:numPr>
      </w:pPr>
      <w:r>
        <w:t xml:space="preserve">Połączeń sterowniczych pomiędzy rozdzielnicą </w:t>
      </w:r>
      <w:r w:rsidR="002B1465">
        <w:t>RL (sekcja TW)</w:t>
      </w:r>
      <w:r>
        <w:t xml:space="preserve"> i urządzeniami, a szafami sterującymi</w:t>
      </w:r>
      <w:r w:rsidR="00F56E3F">
        <w:t>.</w:t>
      </w:r>
    </w:p>
    <w:p w14:paraId="2D9597F4" w14:textId="3DDA2FA8" w:rsidR="00BD2917" w:rsidRDefault="00BD2917" w:rsidP="00BD2917">
      <w:pPr>
        <w:pStyle w:val="Akapitzlist"/>
        <w:numPr>
          <w:ilvl w:val="0"/>
          <w:numId w:val="9"/>
        </w:numPr>
        <w:ind w:left="1134"/>
      </w:pPr>
      <w:r w:rsidRPr="00BD2917">
        <w:t xml:space="preserve">Przed zleceniem prefabrykacji rozdzielnicy </w:t>
      </w:r>
      <w:r w:rsidR="00516F0A">
        <w:t>RL</w:t>
      </w:r>
      <w:r w:rsidRPr="00BD2917">
        <w:t xml:space="preserve"> należy ustalić z Inwestorem standard wykonania. </w:t>
      </w:r>
      <w:r w:rsidR="00011392">
        <w:t xml:space="preserve">Preferowanym </w:t>
      </w:r>
      <w:proofErr w:type="spellStart"/>
      <w:r w:rsidR="00011392">
        <w:t>prefabrykatorem</w:t>
      </w:r>
      <w:proofErr w:type="spellEnd"/>
      <w:r w:rsidR="00011392">
        <w:t xml:space="preserve"> jest firma </w:t>
      </w:r>
      <w:proofErr w:type="spellStart"/>
      <w:r w:rsidR="00011392">
        <w:t>Puris</w:t>
      </w:r>
      <w:proofErr w:type="spellEnd"/>
      <w:r w:rsidR="00011392">
        <w:t xml:space="preserve"> z Jeżowa Sudeckiego.</w:t>
      </w:r>
    </w:p>
    <w:p w14:paraId="26841ADA" w14:textId="77777777" w:rsidR="00A404D2" w:rsidRDefault="00BD2917" w:rsidP="00BD2917">
      <w:pPr>
        <w:pStyle w:val="Akapitzlist"/>
        <w:numPr>
          <w:ilvl w:val="0"/>
          <w:numId w:val="9"/>
        </w:numPr>
        <w:ind w:left="1134"/>
      </w:pPr>
      <w:r>
        <w:t>Po stronie wykonawcy instalacji niskoprądowych jest uzgodnienie z projektantem instalacji elektrycznych doboru aparatury zabezpieczającej oraz przewodów dla obwodów zasilających urządzenia z jego zakresu</w:t>
      </w:r>
      <w:r w:rsidR="00A404D2">
        <w:t>.</w:t>
      </w:r>
    </w:p>
    <w:p w14:paraId="2616EA3A" w14:textId="0F8D9D11" w:rsidR="00BD2917" w:rsidRDefault="00A404D2" w:rsidP="00BD2917">
      <w:pPr>
        <w:pStyle w:val="Akapitzlist"/>
        <w:numPr>
          <w:ilvl w:val="0"/>
          <w:numId w:val="9"/>
        </w:numPr>
        <w:ind w:left="1134"/>
      </w:pPr>
      <w:r>
        <w:t>Należy odłączyć zasilanie strony wtórnej UPS</w:t>
      </w:r>
      <w:r w:rsidR="00BD2917">
        <w:t xml:space="preserve"> </w:t>
      </w:r>
      <w:r>
        <w:t xml:space="preserve">przy wciśnięciu strefowego wyłącznika prądu. Sygnał należy wprowadzić na zaciski EPO w urządzeniu. Szczegóły wg opracowania </w:t>
      </w:r>
      <w:proofErr w:type="spellStart"/>
      <w:r>
        <w:t>Vimana</w:t>
      </w:r>
      <w:proofErr w:type="spellEnd"/>
      <w:r>
        <w:t xml:space="preserve">. </w:t>
      </w:r>
    </w:p>
    <w:p w14:paraId="4EACD1F3" w14:textId="586289B7" w:rsidR="00EA4173" w:rsidRDefault="00EA4173">
      <w:pPr>
        <w:ind w:firstLine="0"/>
        <w:jc w:val="left"/>
      </w:pPr>
      <w:r>
        <w:br w:type="page"/>
      </w:r>
    </w:p>
    <w:p w14:paraId="1A0344D0" w14:textId="5D911BDB" w:rsidR="00FD02A4" w:rsidRDefault="00FD02A4" w:rsidP="00FD02A4">
      <w:pPr>
        <w:pStyle w:val="Nagwek1"/>
        <w:numPr>
          <w:ilvl w:val="0"/>
          <w:numId w:val="3"/>
        </w:numPr>
      </w:pPr>
      <w:bookmarkStart w:id="23" w:name="_Toc131407886"/>
      <w:r>
        <w:lastRenderedPageBreak/>
        <w:t>Uprawnienia budowlane i izba</w:t>
      </w:r>
      <w:bookmarkEnd w:id="23"/>
    </w:p>
    <w:p w14:paraId="7EDF868F" w14:textId="75C78E72" w:rsidR="00FD02A4" w:rsidRDefault="00FD02A4" w:rsidP="00FD02A4">
      <w:pPr>
        <w:ind w:firstLine="0"/>
      </w:pPr>
    </w:p>
    <w:p w14:paraId="45D9BA1E" w14:textId="03B09F1B" w:rsidR="00FD02A4" w:rsidRDefault="00FD02A4" w:rsidP="00FD02A4">
      <w:pPr>
        <w:ind w:firstLine="0"/>
        <w:rPr>
          <w:noProof/>
          <w:lang w:eastAsia="pl-PL"/>
        </w:rPr>
      </w:pPr>
    </w:p>
    <w:p w14:paraId="00286050" w14:textId="29D493AB" w:rsidR="00FD02A4" w:rsidRPr="00FD02A4" w:rsidRDefault="00FD02A4" w:rsidP="00FD02A4">
      <w:pPr>
        <w:ind w:firstLine="0"/>
      </w:pPr>
    </w:p>
    <w:sectPr w:rsidR="00FD02A4" w:rsidRPr="00FD0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emens Sans">
    <w:altName w:val="Cambria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B1799"/>
    <w:multiLevelType w:val="hybridMultilevel"/>
    <w:tmpl w:val="1F6A99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0A2A7D"/>
    <w:multiLevelType w:val="hybridMultilevel"/>
    <w:tmpl w:val="8B34E794"/>
    <w:lvl w:ilvl="0" w:tplc="A03A57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35ED1"/>
    <w:multiLevelType w:val="hybridMultilevel"/>
    <w:tmpl w:val="7E305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948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5E69E8"/>
    <w:multiLevelType w:val="hybridMultilevel"/>
    <w:tmpl w:val="934E8A7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4E4DA8"/>
    <w:multiLevelType w:val="hybridMultilevel"/>
    <w:tmpl w:val="F404E06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E081F07"/>
    <w:multiLevelType w:val="multilevel"/>
    <w:tmpl w:val="BFF4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7" w:hanging="88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36D5293"/>
    <w:multiLevelType w:val="hybridMultilevel"/>
    <w:tmpl w:val="B0D8C7BC"/>
    <w:lvl w:ilvl="0" w:tplc="969A12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95227"/>
    <w:multiLevelType w:val="hybridMultilevel"/>
    <w:tmpl w:val="E340B94E"/>
    <w:lvl w:ilvl="0" w:tplc="4F10772E">
      <w:start w:val="1"/>
      <w:numFmt w:val="bullet"/>
      <w:lvlText w:val="•"/>
      <w:lvlJc w:val="left"/>
      <w:pPr>
        <w:ind w:left="2123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9EF7087"/>
    <w:multiLevelType w:val="hybridMultilevel"/>
    <w:tmpl w:val="5558A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9011C4"/>
    <w:multiLevelType w:val="hybridMultilevel"/>
    <w:tmpl w:val="701ECA2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E76745B"/>
    <w:multiLevelType w:val="hybridMultilevel"/>
    <w:tmpl w:val="88D60AC4"/>
    <w:lvl w:ilvl="0" w:tplc="4F10772E">
      <w:start w:val="1"/>
      <w:numFmt w:val="bullet"/>
      <w:lvlText w:val="•"/>
      <w:lvlJc w:val="left"/>
      <w:pPr>
        <w:ind w:left="1414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8D00FB3"/>
    <w:multiLevelType w:val="hybridMultilevel"/>
    <w:tmpl w:val="63984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1"/>
  </w:num>
  <w:num w:numId="8">
    <w:abstractNumId w:val="8"/>
  </w:num>
  <w:num w:numId="9">
    <w:abstractNumId w:val="10"/>
  </w:num>
  <w:num w:numId="10">
    <w:abstractNumId w:val="1"/>
  </w:num>
  <w:num w:numId="11">
    <w:abstractNumId w:val="12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086"/>
    <w:rsid w:val="00011392"/>
    <w:rsid w:val="000B7F77"/>
    <w:rsid w:val="000E2DED"/>
    <w:rsid w:val="001018BE"/>
    <w:rsid w:val="00162442"/>
    <w:rsid w:val="001B19C6"/>
    <w:rsid w:val="001D03B5"/>
    <w:rsid w:val="001F359D"/>
    <w:rsid w:val="0024173D"/>
    <w:rsid w:val="00267762"/>
    <w:rsid w:val="0028310A"/>
    <w:rsid w:val="002B1465"/>
    <w:rsid w:val="0038555A"/>
    <w:rsid w:val="00395DEE"/>
    <w:rsid w:val="00475525"/>
    <w:rsid w:val="0048309E"/>
    <w:rsid w:val="004C5A96"/>
    <w:rsid w:val="00516F0A"/>
    <w:rsid w:val="00550086"/>
    <w:rsid w:val="00550110"/>
    <w:rsid w:val="00630EEA"/>
    <w:rsid w:val="006A415E"/>
    <w:rsid w:val="00761F75"/>
    <w:rsid w:val="007D10D8"/>
    <w:rsid w:val="00872290"/>
    <w:rsid w:val="00A175DE"/>
    <w:rsid w:val="00A404D2"/>
    <w:rsid w:val="00A85F5B"/>
    <w:rsid w:val="00A920C6"/>
    <w:rsid w:val="00AF5911"/>
    <w:rsid w:val="00B26DA4"/>
    <w:rsid w:val="00BD2917"/>
    <w:rsid w:val="00CD2429"/>
    <w:rsid w:val="00CE4B09"/>
    <w:rsid w:val="00D17935"/>
    <w:rsid w:val="00DE2CEE"/>
    <w:rsid w:val="00DF2F23"/>
    <w:rsid w:val="00E20AC6"/>
    <w:rsid w:val="00E35185"/>
    <w:rsid w:val="00EA4173"/>
    <w:rsid w:val="00EA667D"/>
    <w:rsid w:val="00EC3FD7"/>
    <w:rsid w:val="00F01BF4"/>
    <w:rsid w:val="00F56E3F"/>
    <w:rsid w:val="00F74A93"/>
    <w:rsid w:val="00F7714A"/>
    <w:rsid w:val="00F9777C"/>
    <w:rsid w:val="00FD02A4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222E7"/>
  <w15:chartTrackingRefBased/>
  <w15:docId w15:val="{67F79FA6-4D61-4709-AE9F-187ABC10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110"/>
    <w:pPr>
      <w:ind w:firstLine="709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0110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08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50110"/>
    <w:rPr>
      <w:rFonts w:eastAsiaTheme="majorEastAsia" w:cstheme="majorBidi"/>
      <w:b/>
      <w:sz w:val="28"/>
      <w:szCs w:val="32"/>
    </w:rPr>
  </w:style>
  <w:style w:type="paragraph" w:customStyle="1" w:styleId="Standard">
    <w:name w:val="Standard"/>
    <w:rsid w:val="0055008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5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aliases w:val="Opis budowlany"/>
    <w:basedOn w:val="Normalny"/>
    <w:next w:val="Normalny"/>
    <w:autoRedefine/>
    <w:uiPriority w:val="39"/>
    <w:unhideWhenUsed/>
    <w:qFormat/>
    <w:rsid w:val="00FD02A4"/>
    <w:pPr>
      <w:widowControl w:val="0"/>
      <w:suppressAutoHyphens/>
      <w:autoSpaceDN w:val="0"/>
      <w:spacing w:after="0" w:line="276" w:lineRule="auto"/>
      <w:ind w:firstLine="0"/>
      <w:jc w:val="left"/>
      <w:textAlignment w:val="baseline"/>
    </w:pPr>
    <w:rPr>
      <w:rFonts w:ascii="Calibri" w:eastAsia="SimSun" w:hAnsi="Calibri" w:cs="F"/>
      <w:kern w:val="3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D02A4"/>
    <w:pPr>
      <w:widowControl w:val="0"/>
      <w:suppressAutoHyphens/>
      <w:autoSpaceDN w:val="0"/>
      <w:spacing w:after="0" w:line="240" w:lineRule="auto"/>
      <w:ind w:left="221" w:firstLine="0"/>
      <w:jc w:val="left"/>
      <w:textAlignment w:val="baseline"/>
    </w:pPr>
    <w:rPr>
      <w:rFonts w:ascii="Calibri" w:eastAsia="SimSun" w:hAnsi="Calibri" w:cs="F"/>
      <w:kern w:val="3"/>
      <w:sz w:val="22"/>
    </w:rPr>
  </w:style>
  <w:style w:type="character" w:styleId="Hipercze">
    <w:name w:val="Hyperlink"/>
    <w:basedOn w:val="Domylnaczcionkaakapitu"/>
    <w:uiPriority w:val="99"/>
    <w:unhideWhenUsed/>
    <w:rsid w:val="00FD02A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9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8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C924CE7F39B42983F0C495513DBFA" ma:contentTypeVersion="13" ma:contentTypeDescription="Utwórz nowy dokument." ma:contentTypeScope="" ma:versionID="26c7e946b10e4f8160a3b88151b01156">
  <xsd:schema xmlns:xsd="http://www.w3.org/2001/XMLSchema" xmlns:xs="http://www.w3.org/2001/XMLSchema" xmlns:p="http://schemas.microsoft.com/office/2006/metadata/properties" xmlns:ns2="57521460-f20b-4812-a5f1-f81169a39c4b" xmlns:ns3="eab84f48-701d-43b9-8260-debf576bc357" targetNamespace="http://schemas.microsoft.com/office/2006/metadata/properties" ma:root="true" ma:fieldsID="85274b14be50cab75177584d749df7b8" ns2:_="" ns3:_="">
    <xsd:import namespace="57521460-f20b-4812-a5f1-f81169a39c4b"/>
    <xsd:import namespace="eab84f48-701d-43b9-8260-debf576bc3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21460-f20b-4812-a5f1-f81169a39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ca96cec-3401-469e-a89a-ced629e8ef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84f48-701d-43b9-8260-debf576bc3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b1a2a4-7f3d-4b47-b102-69db9bfd6d2a}" ma:internalName="TaxCatchAll" ma:showField="CatchAllData" ma:web="eab84f48-701d-43b9-8260-debf576bc3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b84f48-701d-43b9-8260-debf576bc357" xsi:nil="true"/>
    <lcf76f155ced4ddcb4097134ff3c332f xmlns="57521460-f20b-4812-a5f1-f81169a39c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24D73C-337B-4F72-80CE-44C01DE2D015}"/>
</file>

<file path=customXml/itemProps2.xml><?xml version="1.0" encoding="utf-8"?>
<ds:datastoreItem xmlns:ds="http://schemas.openxmlformats.org/officeDocument/2006/customXml" ds:itemID="{8BE88C7E-6D2F-4279-B379-A18CA79346FE}"/>
</file>

<file path=customXml/itemProps3.xml><?xml version="1.0" encoding="utf-8"?>
<ds:datastoreItem xmlns:ds="http://schemas.openxmlformats.org/officeDocument/2006/customXml" ds:itemID="{0758340A-1D15-4072-AE19-1464DF5613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2750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Lis</dc:creator>
  <cp:keywords/>
  <dc:description/>
  <cp:lastModifiedBy>Konto Microsoft</cp:lastModifiedBy>
  <cp:revision>3</cp:revision>
  <cp:lastPrinted>2023-03-10T06:31:00Z</cp:lastPrinted>
  <dcterms:created xsi:type="dcterms:W3CDTF">2023-04-03T07:39:00Z</dcterms:created>
  <dcterms:modified xsi:type="dcterms:W3CDTF">2023-04-03T07:51:00Z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0x010100AB8C924CE7F39B42983F0C495513DBFA</vt:lpwstr>
  </property>
</Properties>
</file>